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H SarabunPSK" w:hAnsi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มคอ</w:t>
      </w:r>
      <w:r>
        <w:rPr>
          <w:rFonts w:cs="TH SarabunPSK" w:ascii="TH SarabunPSK" w:hAnsi="TH SarabunPSK"/>
          <w:b/>
          <w:bCs/>
          <w:sz w:val="36"/>
          <w:szCs w:val="36"/>
          <w:lang w:bidi="th-TH"/>
        </w:rPr>
        <w:t xml:space="preserve">. 3 </w:t>
      </w:r>
    </w:p>
    <w:p>
      <w:pPr>
        <w:pStyle w:val="Normal"/>
        <w:jc w:val="center"/>
        <w:rPr>
          <w:rFonts w:ascii="TH SarabunPSK" w:hAnsi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 xml:space="preserve">รายละเอียดของกระบวนวิชา </w:t>
      </w:r>
      <w:r>
        <w:rPr>
          <w:rFonts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กระบวนวิชาปรับปรุง</w:t>
      </w:r>
      <w:r>
        <w:rPr>
          <w:rFonts w:cs="TH SarabunPSK" w:ascii="TH SarabunPSK" w:hAnsi="TH SarabunPSK"/>
          <w:b/>
          <w:bCs/>
          <w:sz w:val="36"/>
          <w:szCs w:val="36"/>
          <w:lang w:bidi="th-TH"/>
        </w:rPr>
        <w:t>)</w:t>
      </w:r>
    </w:p>
    <w:p>
      <w:pPr>
        <w:pStyle w:val="Normal"/>
        <w:jc w:val="center"/>
        <w:rPr>
          <w:rFonts w:ascii="TH SarabunPSK" w:hAnsi="TH SarabunPSK" w:cs="TH SarabunPSK"/>
          <w:b/>
          <w:b/>
          <w:bCs/>
          <w:sz w:val="32"/>
          <w:szCs w:val="32"/>
          <w:lang w:bidi="th-TH"/>
        </w:rPr>
      </w:pPr>
      <w:r>
        <w:rPr>
          <w:rFonts w:cs="TH SarabunPSK" w:ascii="TH SarabunPSK" w:hAnsi="TH SarabunPSK"/>
          <w:b/>
          <w:bCs/>
          <w:sz w:val="32"/>
          <w:szCs w:val="32"/>
          <w:lang w:bidi="th-TH"/>
        </w:rPr>
      </w:r>
    </w:p>
    <w:tbl>
      <w:tblPr>
        <w:tblW w:w="9720" w:type="dxa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43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ชื่อสถาบันอุดมศึกษา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 xml:space="preserve">มหาวิทยาลัยเชียงใหม่ 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(CHIANG MAI UNIVERSITY)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22" w:leader="none"/>
                <w:tab w:val="left" w:pos="5022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คณะ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ภาควิชา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คณะวิทยาศาสตร์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ภาควิชาคณิตศาสตร์</w:t>
            </w:r>
          </w:p>
          <w:p>
            <w:pPr>
              <w:pStyle w:val="Normal"/>
              <w:tabs>
                <w:tab w:val="left" w:pos="1602" w:leader="none"/>
                <w:tab w:val="left" w:pos="2329" w:leader="none"/>
                <w:tab w:val="left" w:pos="5022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  <w:tab/>
              <w:t>Faculty of Science</w:t>
              <w:tab/>
              <w:t>Department of Mathematics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29" w:leader="none"/>
              </w:tabs>
              <w:rPr/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รหัสกระบวนวิชา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ว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คณ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 772 (206772)</w:t>
            </w:r>
          </w:p>
          <w:p>
            <w:pPr>
              <w:pStyle w:val="Normal"/>
              <w:tabs>
                <w:tab w:val="left" w:pos="249" w:leader="none"/>
                <w:tab w:val="left" w:pos="2329" w:leader="none"/>
              </w:tabs>
              <w:rPr/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ชื่อกระบวนวิชา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ทฤษฎีความน่าจะเป็น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2 (Theory of Probability II)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15" w:leader="none"/>
              </w:tabs>
              <w:rPr>
                <w:rFonts w:ascii="TH SarabunPSK" w:hAnsi="TH SarabunPSK" w:eastAsia="Angsana New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4.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หน่วยกิต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cs="TH SarabunPSK" w:ascii="TH SarabunPSK" w:hAnsi="TH SarabunPSK"/>
                <w:sz w:val="32"/>
                <w:szCs w:val="32"/>
              </w:rPr>
              <w:t>3(3-0-6)</w:t>
            </w:r>
          </w:p>
        </w:tc>
      </w:tr>
    </w:tbl>
    <w:p>
      <w:pPr>
        <w:pStyle w:val="Heading7"/>
        <w:spacing w:before="0" w:after="0"/>
        <w:jc w:val="center"/>
        <w:rPr>
          <w:rFonts w:ascii="TH SarabunPSK" w:hAnsi="TH SarabunPSK" w:cs="TH SarabunPSK"/>
          <w:b/>
          <w:b/>
          <w:bCs/>
          <w:sz w:val="32"/>
          <w:szCs w:val="32"/>
          <w:lang w:val="en-US" w:bidi="th-TH"/>
        </w:rPr>
      </w:pPr>
      <w:r>
        <w:rPr>
          <w:rFonts w:cs="TH SarabunPSK" w:ascii="TH SarabunPSK" w:hAnsi="TH SarabunPSK"/>
          <w:b/>
          <w:bCs/>
          <w:sz w:val="32"/>
          <w:szCs w:val="32"/>
          <w:lang w:val="en-US" w:bidi="th-TH"/>
        </w:rPr>
      </w:r>
    </w:p>
    <w:p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val="en-US" w:bidi="th-TH"/>
        </w:rPr>
        <w:t xml:space="preserve">หมวดที่ </w:t>
      </w:r>
      <w:r>
        <w:rPr>
          <w:rFonts w:cs="TH SarabunPSK" w:ascii="TH SarabunPSK" w:hAnsi="TH SarabunPSK"/>
          <w:b/>
          <w:bCs/>
          <w:sz w:val="32"/>
          <w:szCs w:val="32"/>
          <w:lang w:val="en-US" w:bidi="th-TH"/>
        </w:rPr>
        <w:t xml:space="preserve">1 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bidi="th-TH"/>
        </w:rPr>
        <w:t>ข้อมูลทั่วไป</w:t>
      </w:r>
    </w:p>
    <w:tbl>
      <w:tblPr>
        <w:tblW w:w="9720" w:type="dxa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หลักสูตรและประเภทของกระบวนวิชา</w:t>
            </w:r>
          </w:p>
          <w:p>
            <w:pPr>
              <w:pStyle w:val="Normal"/>
              <w:tabs>
                <w:tab w:val="left" w:pos="702" w:leader="none"/>
                <w:tab w:val="left" w:pos="1242" w:leader="none"/>
              </w:tabs>
              <w:ind w:left="357" w:hanging="0"/>
              <w:jc w:val="left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1.1</w:t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กระบวนวิชานี้ใช้สำหรับ</w:t>
            </w:r>
          </w:p>
          <w:p>
            <w:pPr>
              <w:pStyle w:val="Normal"/>
              <w:tabs>
                <w:tab w:val="left" w:pos="702" w:leader="none"/>
                <w:tab w:val="left" w:pos="1079" w:leader="none"/>
                <w:tab w:val="left" w:pos="1242" w:leader="none"/>
              </w:tabs>
              <w:ind w:left="357" w:hanging="0"/>
              <w:jc w:val="left"/>
              <w:rPr/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eastAsia="Wingdings" w:cs="Wingdings" w:ascii="Wingdings" w:hAnsi="Wingdings"/>
                <w:b w:val="false"/>
                <w:bCs w:val="false"/>
                <w:color w:val="000000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หลักสูตร………………………………………………………………………………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. </w:t>
            </w:r>
          </w:p>
          <w:p>
            <w:pPr>
              <w:pStyle w:val="Normal"/>
              <w:tabs>
                <w:tab w:val="left" w:pos="702" w:leader="none"/>
                <w:tab w:val="left" w:pos="1062" w:leader="none"/>
              </w:tabs>
              <w:ind w:left="357" w:hanging="0"/>
              <w:jc w:val="left"/>
              <w:rPr/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  <w:lang w:bidi="th-TH"/>
              </w:rPr>
              <w:t>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หลายหลักสูตร วท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ม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สาขาคณิตศาสตร์ 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วท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ม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สาขาคณิตศาสตร์ประยุกต์ ปร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ด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สาขาคณิตศาสตร์</w:t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ind w:left="357" w:hanging="0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 xml:space="preserve">ประเภทของกระบวนวิชา 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        </w:t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   </w:t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วิชาบังคับ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  <w:tab/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ในสาขาวิชา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นอกสาขา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/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   </w:t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</w:rPr>
              <w:t>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วิชาเลือก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</w:rPr>
              <w:t>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ในสาขาวิชา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  <w:lang w:bidi="th-TH"/>
              </w:rPr>
              <w:t>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นอกสาขา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   </w:t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 xml:space="preserve">วิชาตามเงื่อนไขของสาขาวิชา    </w:t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  </w:t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วิทยานิพนธ์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ดุษฎีนิพนธ์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การค้นคว้าอิสระ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Footer"/>
              <w:tabs>
                <w:tab w:val="left" w:pos="72" w:leader="none"/>
                <w:tab w:val="center" w:pos="4153" w:leader="none"/>
                <w:tab w:val="right" w:pos="8306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eastAsia="en-US" w:bidi="th-TH"/>
              </w:rPr>
              <w:t>อาจารย์ผู้รับผิดชอบกระบวนวิชา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val="en-US" w:eastAsia="en-US" w:bidi="th-TH"/>
              </w:rPr>
              <w:t xml:space="preserve">และอาจารย์ผู้สอน     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eastAsia="en-US" w:bidi="th-TH"/>
              </w:rPr>
              <w:t xml:space="preserve"> </w:t>
            </w:r>
          </w:p>
          <w:p>
            <w:pPr>
              <w:pStyle w:val="Normal"/>
              <w:ind w:firstLine="357"/>
              <w:jc w:val="left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2.1</w:t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อาจารย์ผู้รับผิดชอบ</w:t>
            </w:r>
          </w:p>
          <w:p>
            <w:pPr>
              <w:pStyle w:val="Normal"/>
              <w:ind w:firstLine="357"/>
              <w:jc w:val="left"/>
              <w:rPr/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รองศาสตราจารย์ ดร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สันติ ทาเสนา</w:t>
            </w:r>
          </w:p>
          <w:p>
            <w:pPr>
              <w:pStyle w:val="Normal"/>
              <w:ind w:firstLine="357"/>
              <w:jc w:val="left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2.2</w:t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 xml:space="preserve">อาจารย์ผู้สอน 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ทุกคน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) </w:t>
            </w:r>
          </w:p>
          <w:p>
            <w:pPr>
              <w:pStyle w:val="Normal"/>
              <w:ind w:left="702" w:hanging="0"/>
              <w:jc w:val="left"/>
              <w:rPr/>
            </w:pP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รองศาสตราจารย์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สันติ ทาเสนา</w:t>
            </w:r>
          </w:p>
          <w:p>
            <w:pPr>
              <w:pStyle w:val="Normal"/>
              <w:ind w:left="702" w:hanging="0"/>
              <w:jc w:val="left"/>
              <w:rPr/>
            </w:pP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ผู้ช่วยศาสตราจารย์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ภาคภูมิ เพ็ชรประดับ</w:t>
            </w:r>
          </w:p>
          <w:p>
            <w:pPr>
              <w:pStyle w:val="Normal"/>
              <w:ind w:left="702" w:hanging="0"/>
              <w:jc w:val="left"/>
              <w:rPr/>
            </w:pP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อาจารย์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ขวัญชัย กันไว</w:t>
            </w:r>
          </w:p>
          <w:p>
            <w:pPr>
              <w:pStyle w:val="Normal"/>
              <w:ind w:left="702" w:hanging="0"/>
              <w:jc w:val="left"/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อาจารย์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นวินดา ฉัตรสกุลพรหม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Footer"/>
              <w:tabs>
                <w:tab w:val="left" w:pos="72" w:leader="none"/>
                <w:tab w:val="center" w:pos="4153" w:leader="none"/>
                <w:tab w:val="right" w:pos="8306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eastAsia="en-US"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val="en-GB" w:eastAsia="en-US" w:bidi="th-TH"/>
              </w:rPr>
              <w:t>ภาคการศึกษา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val="en-US" w:eastAsia="en-US" w:bidi="th-TH"/>
              </w:rPr>
              <w:t>ชั้นปีที่เรียน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eastAsia="en-US" w:bidi="th-TH"/>
              </w:rPr>
              <w:t xml:space="preserve">   </w:t>
            </w:r>
          </w:p>
          <w:p>
            <w:pPr>
              <w:pStyle w:val="Footer"/>
              <w:tabs>
                <w:tab w:val="left" w:pos="72" w:leader="none"/>
                <w:tab w:val="center" w:pos="4153" w:leader="none"/>
                <w:tab w:val="right" w:pos="8306" w:leader="none"/>
              </w:tabs>
              <w:rPr/>
            </w:pP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ภาคการศึกษาที่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หรือภาคการศึกษาที่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หรือภาคการศึกษาที่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>2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หรือภาคการศึกษาที่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ชั้นปีที่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2</w:t>
            </w:r>
          </w:p>
          <w:p>
            <w:pPr>
              <w:pStyle w:val="Default"/>
              <w:jc w:val="lef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cs="TH SarabunPSK" w:ascii="TH SarabunPSK" w:hAnsi="TH SarabunPSK"/>
                <w:sz w:val="32"/>
                <w:szCs w:val="32"/>
                <w:highlight w:val="yellow"/>
              </w:rPr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สถานที่เรียน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  <w:tab/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>
            <w:pPr>
              <w:pStyle w:val="Normal"/>
              <w:tabs>
                <w:tab w:val="left" w:pos="342" w:leader="none"/>
              </w:tabs>
              <w:ind w:hanging="18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</w:rPr>
              <w:t>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ในสถานที่ตั้งของมหาวิทยาลัยเชียงใหม่</w:t>
            </w:r>
          </w:p>
          <w:p>
            <w:pPr>
              <w:pStyle w:val="Normal"/>
              <w:tabs>
                <w:tab w:val="left" w:pos="342" w:leader="none"/>
                <w:tab w:val="left" w:pos="702" w:leader="none"/>
              </w:tabs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นอกสถานที่ตั้งของมหาวิทยาลัยเชียงใหม่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ระบุ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) .............................................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>
            <w:pPr>
              <w:pStyle w:val="Normal"/>
              <w:tabs>
                <w:tab w:val="left" w:pos="342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ไม่น้อยกว่า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ชั่วโมงต่อสัปดาห์</w:t>
            </w:r>
          </w:p>
        </w:tc>
      </w:tr>
    </w:tbl>
    <w:p>
      <w:pPr>
        <w:pStyle w:val="Normal"/>
        <w:jc w:val="center"/>
        <w:rPr>
          <w:rFonts w:ascii="TH SarabunPSK" w:hAnsi="TH SarabunPSK" w:eastAsia="BrowalliaNew-Bold" w:cs="TH SarabunPSK"/>
          <w:b/>
          <w:b/>
          <w:bCs/>
          <w:sz w:val="32"/>
          <w:szCs w:val="32"/>
          <w:lang w:bidi="th-TH"/>
        </w:rPr>
      </w:pPr>
      <w:r>
        <w:br w:type="page"/>
      </w:r>
      <w:r>
        <w:rPr>
          <w:rFonts w:ascii="TH SarabunPSK" w:hAnsi="TH SarabunPSK" w:eastAsia="BrowalliaNew-Bold" w:cs="TH SarabunPSK"/>
          <w:b/>
          <w:b/>
          <w:bCs/>
          <w:sz w:val="32"/>
          <w:sz w:val="32"/>
          <w:szCs w:val="32"/>
          <w:lang w:bidi="th-TH"/>
        </w:rPr>
        <w:t xml:space="preserve">หมวดที่ </w:t>
      </w:r>
      <w:r>
        <w:rPr>
          <w:rFonts w:eastAsia="BrowalliaNew-Bold" w:cs="TH SarabunPSK" w:ascii="TH SarabunPSK" w:hAnsi="TH SarabunPSK"/>
          <w:b/>
          <w:bCs/>
          <w:sz w:val="32"/>
          <w:szCs w:val="32"/>
          <w:lang w:bidi="th-TH"/>
        </w:rPr>
        <w:t xml:space="preserve">2 </w:t>
      </w:r>
      <w:r>
        <w:rPr>
          <w:rFonts w:ascii="TH SarabunPSK" w:hAnsi="TH SarabunPSK" w:eastAsia="BrowalliaNew-Bold" w:cs="TH SarabunPSK"/>
          <w:b/>
          <w:b/>
          <w:bCs/>
          <w:sz w:val="32"/>
          <w:sz w:val="32"/>
          <w:szCs w:val="32"/>
          <w:lang w:bidi="th-TH"/>
        </w:rPr>
        <w:t>ลักษณะและการดำเนินการ</w:t>
      </w:r>
    </w:p>
    <w:p>
      <w:pPr>
        <w:pStyle w:val="Normal"/>
        <w:jc w:val="center"/>
        <w:rPr>
          <w:rFonts w:ascii="TH SarabunPSK" w:hAnsi="TH SarabunPSK" w:eastAsia="BrowalliaNew-Bold" w:cs="TH SarabunPSK"/>
          <w:b/>
          <w:b/>
          <w:bCs/>
          <w:sz w:val="32"/>
          <w:szCs w:val="32"/>
          <w:lang w:bidi="th-TH"/>
        </w:rPr>
      </w:pPr>
      <w:r>
        <w:rPr>
          <w:rFonts w:eastAsia="BrowalliaNew-Bold" w:cs="TH SarabunPSK" w:ascii="TH SarabunPSK" w:hAnsi="TH SarabunPSK"/>
          <w:b/>
          <w:bCs/>
          <w:sz w:val="32"/>
          <w:szCs w:val="32"/>
          <w:lang w:bidi="th-TH"/>
        </w:rPr>
      </w:r>
    </w:p>
    <w:p>
      <w:pPr>
        <w:pStyle w:val="Normal"/>
        <w:tabs>
          <w:tab w:val="left" w:pos="5812" w:leader="none"/>
          <w:tab w:val="right" w:pos="9862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ภาควิชาคณิตศาสตร์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  <w:tab/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คณะวิทยาศาสตร์</w:t>
      </w:r>
    </w:p>
    <w:p>
      <w:pPr>
        <w:pStyle w:val="Normal"/>
        <w:tabs>
          <w:tab w:val="right" w:pos="9891" w:leader="none"/>
        </w:tabs>
        <w:rPr/>
      </w:pP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ว</w:t>
      </w:r>
      <w:r>
        <w:rPr>
          <w:rFonts w:cs="TH SarabunPSK" w:ascii="TH SarabunPSK" w:hAnsi="TH SarabunPSK"/>
          <w:b/>
          <w:bCs/>
          <w:sz w:val="30"/>
          <w:szCs w:val="30"/>
          <w:lang w:bidi="th-TH"/>
        </w:rPr>
        <w:t>.</w:t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คณ</w:t>
      </w:r>
      <w:r>
        <w:rPr>
          <w:rFonts w:cs="TH SarabunPSK" w:ascii="TH SarabunPSK" w:hAnsi="TH SarabunPSK"/>
          <w:b/>
          <w:bCs/>
          <w:sz w:val="30"/>
          <w:szCs w:val="30"/>
          <w:lang w:bidi="th-TH"/>
        </w:rPr>
        <w:t xml:space="preserve">. 772 (206772) </w:t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 xml:space="preserve">ทฤษฎีความน่าจะเป็น </w:t>
      </w:r>
      <w:r>
        <w:rPr>
          <w:rFonts w:cs="TH SarabunPSK" w:ascii="TH SarabunPSK" w:hAnsi="TH SarabunPSK"/>
          <w:b/>
          <w:bCs/>
          <w:sz w:val="30"/>
          <w:szCs w:val="30"/>
          <w:lang w:bidi="th-TH"/>
        </w:rPr>
        <w:t>2</w:t>
      </w:r>
      <w:r>
        <w:rPr>
          <w:rFonts w:cs="TH SarabunPSK" w:ascii="TH SarabunPSK" w:hAnsi="TH SarabunPSK"/>
          <w:b/>
          <w:bCs/>
          <w:sz w:val="30"/>
          <w:szCs w:val="30"/>
        </w:rPr>
        <w:tab/>
        <w:t>3(3-0-6)</w:t>
      </w:r>
    </w:p>
    <w:p>
      <w:pPr>
        <w:pStyle w:val="Normal"/>
        <w:tabs>
          <w:tab w:val="left" w:pos="720" w:leader="none"/>
          <w:tab w:val="left" w:pos="2880" w:leader="none"/>
          <w:tab w:val="left" w:pos="5280" w:leader="none"/>
          <w:tab w:val="left" w:pos="7200" w:leader="none"/>
          <w:tab w:val="left" w:pos="8760" w:leader="none"/>
          <w:tab w:val="right" w:pos="9960" w:leader="none"/>
        </w:tabs>
        <w:jc w:val="both"/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ลักษณะกระบวนวิชา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ab/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</w:t>
      </w:r>
      <w:r>
        <w:rPr>
          <w:rFonts w:eastAsia="Wingdings" w:cs="Wingdings" w:ascii="Wingdings" w:hAnsi="Wingdings"/>
          <w:color w:val="000000"/>
          <w:sz w:val="30"/>
          <w:szCs w:val="30"/>
        </w:rPr>
        <w:t>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บรรยาย  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ปฏิบัติการ   </w:t>
      </w:r>
      <w:r>
        <w:rPr>
          <w:rFonts w:ascii="TH SarabunPSK" w:hAnsi="TH SarabunPSK" w:eastAsia="Angsana New" w:cs="TH SarabunPSK"/>
          <w:color w:val="000000"/>
          <w:sz w:val="30"/>
          <w:sz w:val="30"/>
          <w:szCs w:val="30"/>
          <w:lang w:bidi="th-TH"/>
        </w:rPr>
        <w:t xml:space="preserve">       </w:t>
      </w:r>
    </w:p>
    <w:p>
      <w:pPr>
        <w:pStyle w:val="Normal"/>
        <w:tabs>
          <w:tab w:val="left" w:pos="2880" w:leader="none"/>
          <w:tab w:val="left" w:pos="5280" w:leader="none"/>
          <w:tab w:val="left" w:pos="7200" w:leader="none"/>
          <w:tab w:val="left" w:pos="8760" w:leader="none"/>
          <w:tab w:val="right" w:pos="9960" w:leader="none"/>
        </w:tabs>
        <w:jc w:val="both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ab/>
        <w:t xml:space="preserve">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ฝึกปฏิบัติ 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cs="TH SarabunPSK"/>
          <w:b/>
          <w:b/>
          <w:bCs/>
          <w:color w:val="000000"/>
          <w:sz w:val="30"/>
          <w:sz w:val="30"/>
          <w:szCs w:val="30"/>
          <w:lang w:bidi="th-TH"/>
        </w:rPr>
        <w:t>วิทยานิพนธ์</w:t>
      </w: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/</w:t>
      </w:r>
      <w:r>
        <w:rPr>
          <w:rFonts w:ascii="TH SarabunPSK" w:hAnsi="TH SarabunPSK" w:cs="TH SarabunPSK"/>
          <w:b/>
          <w:b/>
          <w:bCs/>
          <w:color w:val="000000"/>
          <w:sz w:val="30"/>
          <w:sz w:val="30"/>
          <w:szCs w:val="30"/>
          <w:lang w:bidi="th-TH"/>
        </w:rPr>
        <w:t>ดุษฎีนิพนธ์</w:t>
      </w: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/</w:t>
      </w:r>
      <w:r>
        <w:rPr>
          <w:rFonts w:ascii="TH SarabunPSK" w:hAnsi="TH SarabunPSK" w:cs="TH SarabunPSK"/>
          <w:b/>
          <w:b/>
          <w:bCs/>
          <w:color w:val="000000"/>
          <w:sz w:val="30"/>
          <w:sz w:val="30"/>
          <w:szCs w:val="30"/>
          <w:lang w:bidi="th-TH"/>
        </w:rPr>
        <w:t>การค้นคว้าอิสระ</w:t>
      </w:r>
    </w:p>
    <w:p>
      <w:pPr>
        <w:pStyle w:val="Normal"/>
        <w:tabs>
          <w:tab w:val="left" w:pos="3402" w:leader="none"/>
          <w:tab w:val="left" w:pos="4860" w:leader="none"/>
          <w:tab w:val="left" w:pos="5850" w:leader="none"/>
          <w:tab w:val="left" w:pos="6480" w:leader="none"/>
          <w:tab w:val="left" w:pos="7920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การวัดและประเมินผล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color w:val="000000"/>
          <w:sz w:val="30"/>
          <w:szCs w:val="30"/>
        </w:rPr>
        <w:t>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A-F</w:t>
        <w:tab/>
        <w:t xml:space="preserve">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S/U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    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P</w:t>
      </w:r>
    </w:p>
    <w:p>
      <w:pPr>
        <w:pStyle w:val="Normal"/>
        <w:tabs>
          <w:tab w:val="left" w:pos="3780" w:leader="none"/>
          <w:tab w:val="left" w:pos="4536" w:leader="none"/>
          <w:tab w:val="left" w:pos="5812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 xml:space="preserve">กรณีของกระบวนวิชา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Selected Topic</w:t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นับจำนวนหน่วยกิตสะสมเพื่อการสำเร็จการศึกษาทุกครั้ง</w:t>
      </w:r>
    </w:p>
    <w:p>
      <w:pPr>
        <w:pStyle w:val="Normal"/>
        <w:tabs>
          <w:tab w:val="left" w:pos="3780" w:leader="none"/>
          <w:tab w:val="left" w:pos="5812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นับจำนวนหน่วยกิตสะสมเพื่อการสำเร็จการศึกษาเพียงครั้งเดียว</w:t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pacing w:val="-10"/>
          <w:sz w:val="30"/>
          <w:szCs w:val="30"/>
          <w:lang w:bidi="th-TH"/>
        </w:rPr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 xml:space="preserve">เงื่อนไขที่ต้องผ่านก่อน 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: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206771 </w:t>
      </w:r>
      <w:r>
        <w:rPr>
          <w:rFonts w:ascii="TH SarabunPSK" w:hAnsi="TH SarabunPSK" w:eastAsia="Angsana New" w:cs="TH SarabunPSK"/>
          <w:sz w:val="30"/>
          <w:sz w:val="30"/>
          <w:szCs w:val="30"/>
          <w:lang w:bidi="th-TH"/>
        </w:rPr>
        <w:t xml:space="preserve">หรือ </w:t>
      </w:r>
      <w:r>
        <w:rPr>
          <w:rFonts w:ascii="TH SarabunPSK" w:hAnsi="TH SarabunPSK" w:eastAsia="Angsana New" w:cs="TH SarabunPSK"/>
          <w:spacing w:val="-10"/>
          <w:sz w:val="30"/>
          <w:sz w:val="30"/>
          <w:szCs w:val="30"/>
          <w:lang w:bidi="th-TH"/>
        </w:rPr>
        <w:t>ตามความเห็นชอบของผู้สอน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</w:r>
    </w:p>
    <w:p>
      <w:pPr>
        <w:pStyle w:val="Normal"/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คำอธิบายลักษณะกระบวนวิชา</w:t>
      </w: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</w:rPr>
        <w:t xml:space="preserve"> </w:t>
      </w:r>
    </w:p>
    <w:p>
      <w:pPr>
        <w:pStyle w:val="Normal"/>
        <w:tabs>
          <w:tab w:val="left" w:pos="1440" w:leader="none"/>
          <w:tab w:val="left" w:pos="7020" w:leader="none"/>
        </w:tabs>
        <w:ind w:firstLine="720"/>
        <w:rPr/>
      </w:pPr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ความน่าจะเป็นแบบมีเงื่อนไข  การประมาณเคอร์เนลของฟังก์ชันการแจกแจงแบบมีเงื่อนไข  ความน่าจะเป็นแบบอัตวิสัยและแบบนิจสิน ทฤษฎีการตัดสินใจแบบเบย์  แนวทางแบบเบย์สำหรับข้อมูลวิยุต  กระบวนการดิริชเรย์และการประมาณฟังก์ชันความหนาแน่น</w:t>
      </w:r>
    </w:p>
    <w:p>
      <w:pPr>
        <w:pStyle w:val="Normal"/>
        <w:ind w:firstLine="72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eastAsia="AngsanaNew" w:cs="TH SarabunPSK" w:ascii="TH SarabunPSK" w:hAnsi="TH SarabunPSK"/>
          <w:sz w:val="30"/>
          <w:szCs w:val="30"/>
          <w:lang w:bidi="th-TH"/>
        </w:rPr>
      </w:r>
    </w:p>
    <w:p>
      <w:pPr>
        <w:pStyle w:val="Normal"/>
        <w:ind w:right="29" w:hanging="0"/>
        <w:rPr>
          <w:rFonts w:ascii="TH SarabunPSK" w:hAnsi="TH SarabunPSK" w:eastAsia="Angsana New" w:cs="TH SarabunPSK"/>
          <w:sz w:val="30"/>
          <w:szCs w:val="30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 xml:space="preserve">ผลลัพธ์การเรียนรู้ของกระบวนวิชา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(Course Learning Outcomes: CLOs)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 xml:space="preserve">  :</w:t>
      </w:r>
      <w:r>
        <w:rPr>
          <w:rFonts w:eastAsia="Angsana New" w:cs="TH SarabunPSK" w:ascii="TH SarabunPSK" w:hAnsi="TH SarabunPSK"/>
          <w:sz w:val="30"/>
          <w:szCs w:val="30"/>
        </w:rPr>
        <w:t xml:space="preserve">  </w:t>
      </w:r>
      <w:r>
        <w:rPr>
          <w:rFonts w:ascii="TH SarabunPSK" w:hAnsi="TH SarabunPSK" w:eastAsia="Angsana New" w:cs="TH SarabunPSK"/>
          <w:sz w:val="30"/>
          <w:sz w:val="30"/>
          <w:szCs w:val="30"/>
          <w:lang w:bidi="th-TH"/>
        </w:rPr>
        <w:t>นักศึกษาสามารถ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1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พิสูจน</w:t>
      </w:r>
      <w:r>
        <w:rPr>
          <w:rFonts w:ascii="TH SarabunPSK" w:hAnsi="TH SarabunPSK" w:cs="TH SarabunPSK"/>
          <w:sz w:val="30"/>
          <w:sz w:val="30"/>
          <w:szCs w:val="30"/>
        </w:rPr>
        <w:t>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สมบัติบางประการ</w:t>
      </w:r>
      <w:r>
        <w:rPr>
          <w:rFonts w:ascii="TH SarabunPSK" w:hAnsi="TH SarabunPSK" w:cs="TH SarabunPSK"/>
          <w:sz w:val="30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และแก</w:t>
      </w:r>
      <w:r>
        <w:rPr>
          <w:rFonts w:ascii="TH SarabunPSK" w:hAnsi="TH SarabunPSK" w:cs="TH SarabunPSK"/>
          <w:sz w:val="30"/>
          <w:sz w:val="30"/>
          <w:szCs w:val="30"/>
        </w:rPr>
        <w:t>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ป</w:t>
      </w:r>
      <w:r>
        <w:rPr>
          <w:rFonts w:ascii="TH SarabunPSK" w:hAnsi="TH SarabunPSK" w:cs="TH SarabunPSK"/>
          <w:sz w:val="30"/>
          <w:sz w:val="30"/>
          <w:szCs w:val="30"/>
        </w:rPr>
        <w:t>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ญหาเกี่ยวกับความน่าจะเป็นแบบมีเงื่อนไข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color w:val="000000"/>
          <w:sz w:val="30"/>
          <w:sz w:val="30"/>
          <w:szCs w:val="30"/>
          <w:lang w:bidi="th-TH"/>
        </w:rPr>
        <w:t>อธิบายและวิเคราะหความเหมือนและความแตกต่างระหว่างความน่าจะเป็นแบบอัตวิสัยและแบบนิจสิน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3 :</w:t>
        <w:tab/>
      </w:r>
      <w:r>
        <w:rPr>
          <w:rFonts w:ascii="TH SarabunPSK" w:hAnsi="TH SarabunPSK" w:cs="TH SarabunPSK"/>
          <w:b w:val="false"/>
          <w:b w:val="false"/>
          <w:bCs w:val="false"/>
          <w:color w:val="000000"/>
          <w:sz w:val="30"/>
          <w:sz w:val="30"/>
          <w:szCs w:val="30"/>
          <w:lang w:bidi="th-TH"/>
        </w:rPr>
        <w:t>อธิบาย คํานวณ และวิเคราะหสมบัติพื้นฐานของทฤษฎีการตัดสินใจแบบเบย์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bookmarkStart w:id="0" w:name="__DdeLink__2447_3982472301"/>
      <w:r>
        <w:rPr>
          <w:rFonts w:ascii="TH SarabunPSK" w:hAnsi="TH SarabunPSK" w:cs="TH SarabunPSK"/>
          <w:b w:val="false"/>
          <w:b w:val="false"/>
          <w:bCs w:val="false"/>
          <w:color w:val="000000"/>
          <w:sz w:val="30"/>
          <w:sz w:val="30"/>
          <w:szCs w:val="30"/>
          <w:lang w:bidi="th-TH"/>
        </w:rPr>
        <w:t>อธิบาย คํานวณ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 </w:t>
      </w:r>
      <w:bookmarkEnd w:id="0"/>
      <w:r>
        <w:rPr>
          <w:rFonts w:ascii="TH SarabunPSK" w:hAnsi="TH SarabunPSK" w:cs="TH SarabunPSK"/>
          <w:b w:val="false"/>
          <w:b w:val="false"/>
          <w:bCs w:val="false"/>
          <w:color w:val="000000"/>
          <w:sz w:val="30"/>
          <w:sz w:val="30"/>
          <w:szCs w:val="30"/>
          <w:lang w:bidi="th-TH"/>
        </w:rPr>
        <w:t>และวิเคราะหสมบัติพื้นฐานของ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การประมาณฟังก์ชันความหนาแน่น</w:t>
      </w:r>
    </w:p>
    <w:p>
      <w:pPr>
        <w:pStyle w:val="Normal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</w:r>
    </w:p>
    <w:p>
      <w:pPr>
        <w:pStyle w:val="Normal"/>
        <w:tabs>
          <w:tab w:val="left" w:pos="7020" w:leader="none"/>
        </w:tabs>
        <w:spacing w:lineRule="exact" w:line="300"/>
        <w:ind w:right="-256" w:hanging="0"/>
        <w:rPr/>
      </w:pP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ความสอดคล้องของ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และผลลัพธ์การเรียนรู้ของกระบวนวิชา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(CLOs)</w:t>
      </w:r>
    </w:p>
    <w:p>
      <w:pPr>
        <w:pStyle w:val="Normal"/>
        <w:tabs>
          <w:tab w:val="left" w:pos="7020" w:leader="none"/>
        </w:tabs>
        <w:spacing w:lineRule="exact" w:line="300"/>
        <w:ind w:right="-256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tbl>
      <w:tblPr>
        <w:tblW w:w="989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57"/>
        <w:gridCol w:w="1933"/>
        <w:gridCol w:w="1933"/>
        <w:gridCol w:w="1933"/>
        <w:gridCol w:w="1932"/>
        <w:gridCol w:w="3"/>
      </w:tblGrid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eastAsia="Angsana New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4</w:t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</w:tr>
    </w:tbl>
    <w:p>
      <w:pPr>
        <w:pStyle w:val="Normal"/>
        <w:tabs>
          <w:tab w:val="left" w:pos="7020" w:leader="none"/>
        </w:tabs>
        <w:spacing w:lineRule="exact" w:line="300"/>
        <w:ind w:right="-256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020" w:leader="none"/>
        </w:tabs>
        <w:spacing w:lineRule="exact" w:line="300"/>
        <w:ind w:right="-256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p>
      <w:pPr>
        <w:pStyle w:val="Default"/>
        <w:tabs>
          <w:tab w:val="left" w:pos="7020" w:leader="none"/>
        </w:tabs>
        <w:rPr>
          <w:rFonts w:ascii="TH SarabunPSK" w:hAnsi="TH SarabunPSK" w:eastAsia="AngsanaNew" w:cs="TH SarabunPSK"/>
          <w:b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/>
          <w:bCs/>
          <w:sz w:val="30"/>
          <w:sz w:val="30"/>
          <w:szCs w:val="30"/>
        </w:rPr>
        <w:t xml:space="preserve">เนื้อหากระบวนวิชา </w:t>
      </w:r>
      <w:r>
        <w:rPr>
          <w:rFonts w:cs="TH SarabunPSK" w:ascii="TH SarabunPSK" w:hAnsi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</w:rPr>
        <w:t xml:space="preserve">จำนวนชั่วโมงบรรยาย </w:t>
      </w:r>
      <w:r>
        <w:rPr>
          <w:rFonts w:eastAsia="AngsanaNew" w:cs="TH SarabunPSK" w:ascii="TH SarabunPSK" w:hAnsi="TH SarabunPSK"/>
          <w:b/>
          <w:bCs/>
          <w:sz w:val="30"/>
          <w:szCs w:val="30"/>
        </w:rPr>
        <w:tab/>
      </w:r>
    </w:p>
    <w:p>
      <w:pPr>
        <w:pStyle w:val="Normal"/>
        <w:tabs>
          <w:tab w:val="left" w:pos="1440" w:leader="none"/>
          <w:tab w:val="left" w:pos="7020" w:leader="none"/>
        </w:tabs>
        <w:rPr/>
      </w:pPr>
      <w:r>
        <w:fldChar w:fldCharType="begin"/>
      </w:r>
      <w:r>
        <w:rPr/>
        <w:instrText>INCLUDETEXT C:\\Users\\windf\\Desktop\\OBE\\Txxx\\T470.docx \* MERGEFORMAT</w:instrText>
      </w:r>
      <w:r>
        <w:rPr/>
        <w:fldChar w:fldCharType="separate"/>
      </w:r>
      <w:bookmarkStart w:id="1" w:name="__Fieldmark__1250_3523922290"/>
      <w:r>
        <w:rPr/>
      </w:r>
      <w:r>
        <w:rPr>
          <w:rFonts w:eastAsia="Angsana New" w:cs="TH SarabunPSK" w:ascii="TH SarabunPSK" w:hAnsi="TH SarabunPSK"/>
          <w:sz w:val="30"/>
          <w:szCs w:val="30"/>
        </w:rPr>
        <w:t>1</w:t>
      </w:r>
      <w:bookmarkStart w:id="2" w:name="__Fieldmark__1251_3693812182"/>
      <w:r>
        <w:rPr>
          <w:rFonts w:eastAsia="Angsana New" w:cs="TH SarabunPSK" w:ascii="TH SarabunPSK" w:hAnsi="TH SarabunPSK"/>
          <w:sz w:val="30"/>
          <w:szCs w:val="30"/>
        </w:rPr>
        <w:t>.</w:t>
      </w:r>
      <w:bookmarkStart w:id="3" w:name="__Fieldmark__454_4239557507"/>
      <w:r>
        <w:rPr>
          <w:rFonts w:eastAsia="BrowalliaNew;PMingLiU" w:cs="TH SarabunPSK" w:ascii="TH SarabunPSK" w:hAnsi="TH SarabunPSK"/>
          <w:sz w:val="30"/>
          <w:szCs w:val="30"/>
          <w:lang w:bidi="th-TH"/>
        </w:rPr>
        <w:t xml:space="preserve"> </w:t>
      </w:r>
      <w:bookmarkStart w:id="4" w:name="__Fieldmark__1069_3982472301"/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ความน่าจะเป็นแบบมีเงื่อนไข</w:t>
      </w:r>
      <w:r>
        <w:rPr>
          <w:rFonts w:eastAsia="BrowalliaNew;PMingLiU" w:cs="TH SarabunPSK" w:ascii="TH SarabunPSK" w:hAnsi="TH SarabunPSK"/>
          <w:sz w:val="30"/>
          <w:szCs w:val="30"/>
          <w:lang w:bidi="th-TH"/>
        </w:rPr>
        <w:tab/>
        <w:tab/>
        <w:tab/>
        <w:t xml:space="preserve">  9</w:t>
      </w:r>
      <w:r>
        <w:rPr/>
      </w:r>
      <w:r>
        <w:rPr/>
        <w:fldChar w:fldCharType="end"/>
      </w:r>
      <w:bookmarkEnd w:id="1"/>
      <w:bookmarkEnd w:id="2"/>
      <w:bookmarkEnd w:id="3"/>
      <w:bookmarkEnd w:id="4"/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2.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การประมาณเคอร์เนลของฟังก์ชันการแจกแจงแบบมีเงื่อนไข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9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3.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ความน่าจะเป็นแบบอัตวิสัยและแบบนิจสิน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3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4.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ทฤษฎีการตัดสินใจแบบเบย์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6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5.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แนวทางแบบเบย์สำหรับข้อมูลวิยุต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9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6.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กระบวนการดิริชเรย์และการประมาณฟังก์ชันความหนาแน่น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9</w:t>
      </w:r>
    </w:p>
    <w:p>
      <w:pPr>
        <w:pStyle w:val="Normal"/>
        <w:tabs>
          <w:tab w:val="left" w:pos="7020" w:leader="none"/>
        </w:tabs>
        <w:ind w:left="4320" w:firstLine="72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ascii="TH SarabunPSK" w:hAnsi="TH SarabunPSK" w:eastAsia="AngsanaNew" w:cs="TH SarabunPSK"/>
          <w:b/>
          <w:b/>
          <w:bCs/>
          <w:sz w:val="30"/>
          <w:sz w:val="30"/>
          <w:szCs w:val="30"/>
          <w:u w:val="single"/>
          <w:lang w:bidi="th-TH"/>
        </w:rPr>
        <w:t>รวม</w:t>
      </w: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AngsanaNew" w:cs="TH SarabunPSK" w:ascii="TH SarabunPSK" w:hAnsi="TH SarabunPSK"/>
          <w:b/>
          <w:bCs/>
          <w:sz w:val="30"/>
          <w:szCs w:val="30"/>
          <w:u w:val="single"/>
          <w:lang w:bidi="th-TH"/>
        </w:rPr>
        <w:t>45</w:t>
      </w:r>
      <w:r>
        <w:rPr>
          <w:rFonts w:eastAsia="AngsanaNew" w:cs="TH SarabunPSK" w:ascii="TH SarabunPSK" w:hAnsi="TH SarabunPSK"/>
          <w:sz w:val="30"/>
          <w:szCs w:val="30"/>
          <w:lang w:bidi="th-TH"/>
        </w:rPr>
        <w:t xml:space="preserve">  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eastAsia="AngsanaNew" w:cs="TH SarabunPSK" w:ascii="TH SarabunPSK" w:hAnsi="TH SarabunPSK"/>
          <w:sz w:val="30"/>
          <w:szCs w:val="30"/>
          <w:lang w:bidi="th-TH"/>
        </w:rPr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>เหตุผลในการปรับปรุงกระบวนวิชา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6804" w:leader="none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cs="TH SarabunPSK" w:ascii="TH SarabunPSK" w:hAnsi="TH SarabunPSK"/>
          <w:sz w:val="30"/>
          <w:szCs w:val="30"/>
          <w:lang w:bidi="th-TH"/>
        </w:rPr>
        <w:t>1.</w:t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>
      <w:pPr>
        <w:pStyle w:val="Normal"/>
        <w:tabs>
          <w:tab w:val="left" w:pos="6804" w:leader="none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cs="TH SarabunPSK" w:ascii="TH SarabunPSK" w:hAnsi="TH SarabunPSK"/>
          <w:sz w:val="30"/>
          <w:szCs w:val="30"/>
          <w:lang w:bidi="th-TH"/>
        </w:rPr>
        <w:t>2.</w:t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เพิ่ม </w:t>
      </w:r>
      <w:r>
        <w:rPr>
          <w:rFonts w:cs="TH SarabunPSK" w:ascii="TH SarabunPSK" w:hAnsi="TH SarabunPSK"/>
          <w:sz w:val="30"/>
          <w:szCs w:val="30"/>
        </w:rPr>
        <w:t xml:space="preserve">Course Learning Outcomes (CLOs)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เพื่อให้สอดคล้องกับการจัดการเรียนการสอนในรูปแบบ </w:t>
      </w:r>
      <w:r>
        <w:rPr>
          <w:rFonts w:cs="TH SarabunPSK" w:ascii="TH SarabunPSK" w:hAnsi="TH SarabunPSK"/>
          <w:sz w:val="30"/>
          <w:szCs w:val="30"/>
        </w:rPr>
        <w:t xml:space="preserve">Outcome-Based Education (OBE)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โดยสามารถวัดผลการเรียนรู้ที่สอดคล้องกับ </w:t>
      </w:r>
      <w:r>
        <w:rPr>
          <w:rFonts w:cs="TH SarabunPSK" w:ascii="TH SarabunPSK" w:hAnsi="TH SarabunPSK"/>
          <w:sz w:val="30"/>
          <w:szCs w:val="30"/>
        </w:rPr>
        <w:t xml:space="preserve">Program Learning Outcomes (PLOs)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ของหลักสูตร</w:t>
      </w:r>
    </w:p>
    <w:p>
      <w:pPr>
        <w:pStyle w:val="Normal"/>
        <w:tabs>
          <w:tab w:val="left" w:pos="6804" w:leader="none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cs="TH SarabunPSK" w:ascii="TH SarabunPSK" w:hAnsi="TH SarabunPSK"/>
          <w:sz w:val="30"/>
          <w:szCs w:val="30"/>
          <w:lang w:bidi="th-TH"/>
        </w:rPr>
        <w:t>3.</w:t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>
        <w:rPr>
          <w:rFonts w:cs="TH SarabunPSK" w:ascii="TH SarabunPSK" w:hAnsi="TH SarabunPSK"/>
          <w:sz w:val="30"/>
          <w:szCs w:val="30"/>
          <w:lang w:bidi="th-TH"/>
        </w:rPr>
        <w:t xml:space="preserve">Outcome-Based Education (OBE) </w:t>
      </w:r>
    </w:p>
    <w:p>
      <w:pPr>
        <w:pStyle w:val="Normal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  <w:r>
        <w:br w:type="page"/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right="29" w:hanging="0"/>
        <w:jc w:val="left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ได้ผ่านความเห็นชอบจากที่ประชุมคณะกรรมการบัณฑิตศึกษาประจำคณะวิทยาศาสตร์  ในคราวประชุมครั้งที่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......................</w:t>
      </w:r>
      <w:r>
        <w:rPr>
          <w:rFonts w:eastAsia="Calibri" w:cs="TH SarabunPSK" w:ascii="TH SarabunPSK" w:hAnsi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เมื่อวันที่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...............................</w:t>
      </w:r>
      <w:r>
        <w:rPr>
          <w:rFonts w:eastAsia="Calibri" w:cs="TH SarabunPSK" w:ascii="TH SarabunPSK" w:hAnsi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กำหนดให้มีผลบังคับใช้ตั้งแต่ภาคการศึกษาที่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 xml:space="preserve">1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ปีการศึกษา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 xml:space="preserve">2566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เป็นต้นไป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right="29" w:hanging="0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ab/>
        <w:tab/>
        <w:t xml:space="preserve">                                                           (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ผู้ช่วยศาสตราจารย์ ดร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ภควรรณ พวงสมบัติ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)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รองคณบดีฝ่ายวิชาการ  ปฏิบัติการแทน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คณบดีคณะวิทยาศาสตร์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วันที่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............................</w:t>
      </w:r>
      <w:r>
        <w:br w:type="page"/>
      </w:r>
    </w:p>
    <w:p>
      <w:pPr>
        <w:pStyle w:val="Normal"/>
        <w:tabs>
          <w:tab w:val="left" w:pos="5812" w:leader="none"/>
          <w:tab w:val="right" w:pos="9862" w:leader="none"/>
        </w:tabs>
        <w:ind w:right="29" w:hanging="0"/>
        <w:jc w:val="both"/>
        <w:rPr>
          <w:rFonts w:ascii="TH SarabunPSK" w:hAnsi="TH SarabunPSK" w:cs="TH SarabunPSK"/>
          <w:b/>
          <w:b/>
          <w:bCs/>
          <w:sz w:val="30"/>
          <w:szCs w:val="30"/>
        </w:rPr>
      </w:pPr>
      <w:r>
        <w:rPr>
          <w:rFonts w:cs="TH SarabunPSK" w:ascii="TH SarabunPSK" w:hAnsi="TH SarabunPSK"/>
          <w:b/>
          <w:bCs/>
          <w:sz w:val="30"/>
          <w:szCs w:val="30"/>
        </w:rPr>
        <w:t>Department of Mathematics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  <w:tab/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                              </w:t>
      </w:r>
      <w:r>
        <w:rPr>
          <w:rFonts w:cs="TH SarabunPSK" w:ascii="TH SarabunPSK" w:hAnsi="TH SarabunPSK"/>
          <w:b/>
          <w:bCs/>
          <w:sz w:val="30"/>
          <w:szCs w:val="30"/>
        </w:rPr>
        <w:t>Faculty of Science</w:t>
      </w:r>
    </w:p>
    <w:p>
      <w:pPr>
        <w:pStyle w:val="Default"/>
        <w:tabs>
          <w:tab w:val="right" w:pos="9810" w:leader="none"/>
        </w:tabs>
        <w:rPr/>
      </w:pPr>
      <w:r>
        <w:rPr>
          <w:rFonts w:cs="TH SarabunPSK" w:ascii="TH SarabunPSK" w:hAnsi="TH SarabunPSK"/>
          <w:b/>
          <w:bCs/>
          <w:sz w:val="30"/>
          <w:szCs w:val="30"/>
        </w:rPr>
        <w:t>MATH 772 (206772) THEORY OF PROBABILITY II</w:t>
        <w:tab/>
        <w:t xml:space="preserve">              3(3-0-6)</w:t>
      </w:r>
    </w:p>
    <w:p>
      <w:pPr>
        <w:pStyle w:val="Normal"/>
        <w:tabs>
          <w:tab w:val="right" w:pos="8280" w:leader="none"/>
          <w:tab w:val="left" w:pos="8520" w:leader="none"/>
        </w:tabs>
        <w:spacing w:lineRule="exact" w:line="380"/>
        <w:ind w:right="29" w:hanging="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Course Type                       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   </w:t>
      </w:r>
      <w:r>
        <w:rPr>
          <w:rFonts w:eastAsia="Wingdings" w:cs="Wingdings" w:ascii="Wingdings" w:hAnsi="Wingdings"/>
          <w:sz w:val="30"/>
          <w:szCs w:val="30"/>
          <w:lang w:bidi="th-TH"/>
        </w:rPr>
        <w:t>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Lecture  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 xml:space="preserve">Lab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</w:t>
      </w:r>
    </w:p>
    <w:p>
      <w:pPr>
        <w:pStyle w:val="Normal"/>
        <w:tabs>
          <w:tab w:val="left" w:pos="720" w:leader="none"/>
          <w:tab w:val="left" w:pos="2880" w:leader="none"/>
          <w:tab w:val="left" w:pos="5040" w:leader="none"/>
          <w:tab w:val="left" w:pos="7200" w:leader="none"/>
          <w:tab w:val="left" w:pos="8760" w:leader="none"/>
          <w:tab w:val="right" w:pos="9960" w:leader="none"/>
        </w:tabs>
        <w:spacing w:lineRule="exact" w:line="300"/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ab/>
        <w:tab/>
        <w:t xml:space="preserve">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Thesis/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val="en-GB" w:bidi="th-TH"/>
        </w:rPr>
        <w:t>Dissertation/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I.S.</w:t>
      </w:r>
    </w:p>
    <w:p>
      <w:pPr>
        <w:pStyle w:val="Normal"/>
        <w:tabs>
          <w:tab w:val="left" w:pos="2160" w:leader="none"/>
          <w:tab w:val="left" w:pos="3600" w:leader="none"/>
          <w:tab w:val="left" w:pos="4770" w:leader="none"/>
          <w:tab w:val="left" w:pos="5040" w:leader="none"/>
          <w:tab w:val="left" w:pos="7200" w:leader="none"/>
          <w:tab w:val="left" w:pos="756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Measurement and Evaluation</w:t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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A-F</w:t>
        <w:tab/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S/U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       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P</w:t>
      </w:r>
    </w:p>
    <w:p>
      <w:pPr>
        <w:pStyle w:val="Normal"/>
        <w:tabs>
          <w:tab w:val="left" w:pos="3780" w:leader="none"/>
          <w:tab w:val="left" w:pos="4536" w:leader="none"/>
          <w:tab w:val="left" w:pos="5812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Selected Topic (if any)</w:t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o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780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                                                 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o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Count the accumulated credits for graduation one-time only</w:t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pacing w:val="-10"/>
          <w:sz w:val="30"/>
          <w:szCs w:val="30"/>
          <w:lang w:bidi="th-TH"/>
        </w:rPr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/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Prerequisite  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>:</w:t>
      </w:r>
      <w:r>
        <w:rPr>
          <w:rFonts w:eastAsia="Angsana New" w:cs="TH SarabunPSK" w:ascii="TH SarabunPSK" w:hAnsi="TH SarabunPSK"/>
          <w:sz w:val="30"/>
          <w:szCs w:val="30"/>
        </w:rPr>
        <w:t xml:space="preserve">  206771 or c</w:t>
      </w:r>
      <w:r>
        <w:rPr>
          <w:rFonts w:cs="TH SarabunPSK" w:ascii="TH SarabunPSK" w:hAnsi="TH SarabunPSK"/>
          <w:sz w:val="30"/>
          <w:szCs w:val="30"/>
        </w:rPr>
        <w:t>onsent of the instructor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</w:r>
    </w:p>
    <w:p>
      <w:pPr>
        <w:pStyle w:val="Normal"/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Course Description</w:t>
      </w:r>
    </w:p>
    <w:p>
      <w:pPr>
        <w:pStyle w:val="Normal"/>
        <w:ind w:right="29" w:hanging="0"/>
        <w:rPr/>
      </w:pPr>
      <w:r>
        <w:rPr>
          <w:rFonts w:eastAsia="AngsanaNew" w:cs="TH SarabunPSK" w:ascii="TH SarabunPSK" w:hAnsi="TH SarabunPSK"/>
          <w:sz w:val="30"/>
          <w:szCs w:val="30"/>
          <w:lang w:bidi="th-TH"/>
        </w:rPr>
        <w:tab/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>Conditional probability,  kernel estimation of conditional distribution functions,  subjective vs frequentist probability,  Bayesian decision theory,  Bayesian approach for discrete data,   Dirichlet process and density estimation.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</w:r>
    </w:p>
    <w:p>
      <w:pPr>
        <w:pStyle w:val="Normal"/>
        <w:ind w:right="29" w:hanging="0"/>
        <w:rPr>
          <w:rFonts w:ascii="TH SarabunPSK" w:hAnsi="TH SarabunPSK" w:eastAsia="Angsana New" w:cs="TH SarabunPSK"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Course Learning Outcomes (CLOs)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 xml:space="preserve">  :</w:t>
      </w:r>
      <w:r>
        <w:rPr>
          <w:rFonts w:eastAsia="Angsana New" w:cs="TH SarabunPSK" w:ascii="TH SarabunPSK" w:hAnsi="TH SarabunPSK"/>
          <w:sz w:val="30"/>
          <w:szCs w:val="30"/>
        </w:rPr>
        <w:t xml:space="preserve">  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Students will be able to 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1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cs="TH SarabunPSK" w:ascii="TH SarabunPSK" w:hAnsi="TH SarabunPSK"/>
          <w:color w:val="000000"/>
          <w:sz w:val="30"/>
          <w:szCs w:val="30"/>
        </w:rPr>
        <w:t>prove some properties and solve problems related to conditional probability;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>CLO 2 :</w:t>
      </w:r>
      <w:r>
        <w:rPr>
          <w:rFonts w:cs="TH SarabunPSK" w:ascii="TH SarabunPSK" w:hAnsi="TH SarabunPSK"/>
          <w:color w:val="000000"/>
          <w:sz w:val="30"/>
          <w:szCs w:val="30"/>
        </w:rPr>
        <w:tab/>
      </w:r>
      <w:r>
        <w:rPr>
          <w:rFonts w:cs="TH SarabunPSK" w:ascii="TH SarabunPSK" w:hAnsi="TH SarabunPSK"/>
          <w:b w:val="false"/>
          <w:bCs w:val="false"/>
          <w:color w:val="000000"/>
          <w:sz w:val="30"/>
          <w:szCs w:val="30"/>
        </w:rPr>
        <w:t>explain and analyze similarity and difference between subjective and frequentist probability</w:t>
      </w:r>
      <w:r>
        <w:rPr>
          <w:rFonts w:cs="TH SarabunPSK" w:ascii="TH SarabunPSK" w:hAnsi="TH SarabunPSK"/>
          <w:color w:val="000000"/>
          <w:sz w:val="30"/>
          <w:szCs w:val="30"/>
        </w:rPr>
        <w:t>;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>CLO 3 :</w:t>
        <w:tab/>
      </w:r>
      <w:r>
        <w:rPr>
          <w:rFonts w:cs="TH SarabunPSK" w:ascii="TH SarabunPSK" w:hAnsi="TH SarabunPSK"/>
          <w:b w:val="false"/>
          <w:bCs w:val="false"/>
          <w:color w:val="000000"/>
          <w:sz w:val="30"/>
          <w:szCs w:val="30"/>
        </w:rPr>
        <w:t>explain, calculate, and analyze basic properties of Bayesian decision theory</w:t>
      </w:r>
      <w:r>
        <w:rPr>
          <w:rFonts w:cs="TH SarabunPSK" w:ascii="TH SarabunPSK" w:hAnsi="TH SarabunPSK"/>
          <w:color w:val="000000"/>
          <w:sz w:val="30"/>
          <w:szCs w:val="30"/>
        </w:rPr>
        <w:t>;</w:t>
      </w: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 xml:space="preserve"> 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 xml:space="preserve">CLO 4 : </w:t>
      </w:r>
      <w:r>
        <w:rPr>
          <w:rFonts w:cs="TH SarabunPSK" w:ascii="TH SarabunPSK" w:hAnsi="TH SarabunPSK"/>
          <w:color w:val="000000"/>
          <w:sz w:val="30"/>
          <w:szCs w:val="30"/>
        </w:rPr>
        <w:t xml:space="preserve"> explain, calculate, and </w:t>
      </w:r>
      <w:r>
        <w:rPr>
          <w:rFonts w:cs="TH SarabunPSK" w:ascii="TH SarabunPSK" w:hAnsi="TH SarabunPSK"/>
          <w:b w:val="false"/>
          <w:bCs w:val="false"/>
          <w:color w:val="000000"/>
          <w:sz w:val="30"/>
          <w:szCs w:val="30"/>
        </w:rPr>
        <w:t>analyze basic properties of density estimations.</w:t>
      </w:r>
    </w:p>
    <w:p>
      <w:pPr>
        <w:pStyle w:val="Normal"/>
        <w:tabs>
          <w:tab w:val="left" w:pos="1530" w:leader="none"/>
        </w:tabs>
        <w:ind w:left="1530" w:hanging="810"/>
        <w:rPr>
          <w:rFonts w:ascii="TH SarabunPSK" w:hAnsi="TH SarabunPSK" w:cs="TH SarabunPSK"/>
          <w:sz w:val="30"/>
          <w:szCs w:val="30"/>
        </w:rPr>
      </w:pPr>
      <w:r>
        <w:rPr>
          <w:rFonts w:cs="TH SarabunPSK" w:ascii="TH SarabunPSK" w:hAnsi="TH SarabunPSK"/>
          <w:sz w:val="30"/>
          <w:szCs w:val="30"/>
        </w:rPr>
      </w:r>
    </w:p>
    <w:p>
      <w:pPr>
        <w:pStyle w:val="Normal"/>
        <w:tabs>
          <w:tab w:val="left" w:pos="1530" w:leader="none"/>
        </w:tabs>
        <w:ind w:left="1530" w:right="29" w:hanging="810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</w:r>
    </w:p>
    <w:p>
      <w:pPr>
        <w:pStyle w:val="Normal"/>
        <w:tabs>
          <w:tab w:val="center" w:pos="7020" w:leader="none"/>
        </w:tabs>
        <w:ind w:right="-256" w:hanging="0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Course Contents</w:t>
        <w:tab/>
        <w:tab/>
        <w:t>No. of Lecture Hours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 xml:space="preserve">  </w:t>
      </w:r>
    </w:p>
    <w:p>
      <w:pPr>
        <w:pStyle w:val="Normal"/>
        <w:rPr/>
      </w:pPr>
      <w:r>
        <w:rPr>
          <w:rFonts w:eastAsia="TH Niramit AS" w:cs="TH SarabunPSK" w:ascii="TH SarabunPSK" w:hAnsi="TH SarabunPSK"/>
          <w:color w:val="auto"/>
          <w:sz w:val="30"/>
          <w:szCs w:val="30"/>
          <w:lang w:bidi="th-TH"/>
        </w:rPr>
        <w:t>1. Conditional Probability</w:t>
        <w:tab/>
        <w:tab/>
        <w:tab/>
        <w:tab/>
        <w:tab/>
        <w:tab/>
        <w:tab/>
        <w:tab/>
        <w:tab/>
        <w:t>9</w:t>
      </w:r>
    </w:p>
    <w:p>
      <w:pPr>
        <w:pStyle w:val="Normal"/>
        <w:rPr/>
      </w:pPr>
      <w:r>
        <w:rPr>
          <w:rFonts w:eastAsia="TH Niramit AS" w:cs="TH SarabunPSK" w:ascii="TH SarabunPSK" w:hAnsi="TH SarabunPSK"/>
          <w:color w:val="auto"/>
          <w:sz w:val="30"/>
          <w:szCs w:val="30"/>
          <w:lang w:bidi="th-TH"/>
        </w:rPr>
        <w:t>2. Kernel Estimation of Conditional Distribution Functions</w:t>
        <w:tab/>
        <w:tab/>
        <w:tab/>
        <w:tab/>
        <w:tab/>
        <w:t>9</w:t>
      </w:r>
    </w:p>
    <w:p>
      <w:pPr>
        <w:pStyle w:val="Normal"/>
        <w:rPr/>
      </w:pPr>
      <w:r>
        <w:rPr>
          <w:rFonts w:eastAsia="TH Niramit AS" w:cs="TH SarabunPSK" w:ascii="TH SarabunPSK" w:hAnsi="TH SarabunPSK"/>
          <w:color w:val="auto"/>
          <w:sz w:val="30"/>
          <w:szCs w:val="30"/>
          <w:lang w:bidi="th-TH"/>
        </w:rPr>
        <w:t>3. Subjective vs Frequentist Probability</w:t>
        <w:tab/>
        <w:tab/>
        <w:tab/>
        <w:tab/>
        <w:tab/>
        <w:tab/>
        <w:tab/>
        <w:tab/>
        <w:t>3</w:t>
      </w:r>
    </w:p>
    <w:p>
      <w:pPr>
        <w:pStyle w:val="Normal"/>
        <w:rPr/>
      </w:pPr>
      <w:r>
        <w:rPr>
          <w:rFonts w:eastAsia="TH Niramit AS" w:cs="TH SarabunPSK" w:ascii="TH SarabunPSK" w:hAnsi="TH SarabunPSK"/>
          <w:color w:val="auto"/>
          <w:sz w:val="30"/>
          <w:szCs w:val="30"/>
          <w:lang w:bidi="th-TH"/>
        </w:rPr>
        <w:t>4. Bayesian Decision Theory</w:t>
        <w:tab/>
        <w:tab/>
        <w:tab/>
        <w:tab/>
        <w:tab/>
        <w:tab/>
        <w:tab/>
        <w:tab/>
        <w:tab/>
        <w:t>6</w:t>
      </w:r>
    </w:p>
    <w:p>
      <w:pPr>
        <w:pStyle w:val="Normal"/>
        <w:rPr/>
      </w:pPr>
      <w:r>
        <w:rPr>
          <w:rFonts w:eastAsia="TH Niramit AS" w:cs="TH SarabunPSK" w:ascii="TH SarabunPSK" w:hAnsi="TH SarabunPSK"/>
          <w:color w:val="auto"/>
          <w:sz w:val="30"/>
          <w:szCs w:val="30"/>
          <w:lang w:bidi="th-TH"/>
        </w:rPr>
        <w:t>5. Bayesian Approach for Discrete Data</w:t>
        <w:tab/>
        <w:tab/>
        <w:tab/>
        <w:tab/>
        <w:tab/>
        <w:tab/>
        <w:tab/>
        <w:tab/>
        <w:t>9</w:t>
      </w:r>
    </w:p>
    <w:p>
      <w:pPr>
        <w:pStyle w:val="Normal"/>
        <w:rPr/>
      </w:pPr>
      <w:r>
        <w:rPr>
          <w:rFonts w:eastAsia="TH Niramit AS" w:cs="TH SarabunPSK" w:ascii="TH SarabunPSK" w:hAnsi="TH SarabunPSK"/>
          <w:color w:val="auto"/>
          <w:sz w:val="30"/>
          <w:szCs w:val="30"/>
          <w:lang w:bidi="th-TH"/>
        </w:rPr>
        <w:t xml:space="preserve">6. Dirichlet Process and Density Estimation </w:t>
        <w:tab/>
        <w:tab/>
        <w:tab/>
        <w:tab/>
        <w:tab/>
        <w:tab/>
        <w:tab/>
        <w:t>9</w:t>
      </w:r>
      <w:r>
        <w:rPr>
          <w:rFonts w:cs="TH Niramit AS" w:ascii="TH Niramit AS" w:hAnsi="TH Niramit AS"/>
          <w:sz w:val="30"/>
          <w:szCs w:val="30"/>
        </w:rPr>
        <w:tab/>
      </w:r>
    </w:p>
    <w:p>
      <w:pPr>
        <w:pStyle w:val="Normal"/>
        <w:tabs>
          <w:tab w:val="left" w:pos="7020" w:leader="none"/>
        </w:tabs>
        <w:ind w:firstLine="720"/>
        <w:rPr/>
      </w:pPr>
      <w:r>
        <w:rPr>
          <w:rFonts w:eastAsia="AngsanaNew" w:cs="TH SarabunPSK" w:ascii="TH SarabunPSK" w:hAnsi="TH SarabunPSK"/>
          <w:sz w:val="30"/>
          <w:szCs w:val="30"/>
          <w:lang w:bidi="th-TH"/>
        </w:rPr>
        <w:tab/>
      </w:r>
      <w:r>
        <w:rPr>
          <w:rFonts w:eastAsia="AngsanaNew" w:cs="TH SarabunPSK" w:ascii="TH SarabunPSK" w:hAnsi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ab/>
        <w:t xml:space="preserve">         </w:t>
      </w:r>
      <w:r>
        <w:rPr>
          <w:rFonts w:eastAsia="AngsanaNew" w:cs="TH SarabunPSK" w:ascii="TH SarabunPSK" w:hAnsi="TH SarabunPSK"/>
          <w:b/>
          <w:bCs/>
          <w:sz w:val="30"/>
          <w:szCs w:val="30"/>
          <w:u w:val="single"/>
          <w:lang w:bidi="th-TH"/>
        </w:rPr>
        <w:t>45</w:t>
      </w: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 xml:space="preserve">  </w:t>
      </w:r>
      <w:r>
        <w:br w:type="page"/>
      </w:r>
    </w:p>
    <w:p>
      <w:pPr>
        <w:pStyle w:val="Normal"/>
        <w:tabs>
          <w:tab w:val="left" w:pos="7020" w:leader="none"/>
        </w:tabs>
        <w:ind w:firstLine="720"/>
        <w:jc w:val="center"/>
        <w:rPr>
          <w:rFonts w:ascii="TH SarabunPSK" w:hAnsi="TH SarabunPSK" w:cs="TH SarabunPSK"/>
          <w:b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bidi="th-TH"/>
        </w:rPr>
        <w:t xml:space="preserve">หมวดที่ </w:t>
      </w:r>
      <w:r>
        <w:rPr>
          <w:rFonts w:cs="TH SarabunPSK" w:ascii="TH SarabunPSK" w:hAnsi="TH SarabunPSK"/>
          <w:b/>
          <w:bCs/>
          <w:sz w:val="32"/>
          <w:szCs w:val="32"/>
          <w:lang w:bidi="th-TH"/>
        </w:rPr>
        <w:t xml:space="preserve">3 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bidi="th-TH"/>
        </w:rPr>
        <w:t>การพัฒนาผลการเรียนรู้ของนักศึกษา</w:t>
      </w:r>
    </w:p>
    <w:p>
      <w:pPr>
        <w:pStyle w:val="Normal"/>
        <w:rPr>
          <w:sz w:val="32"/>
          <w:szCs w:val="32"/>
          <w:lang w:bidi="th-TH"/>
        </w:rPr>
      </w:pPr>
      <w:r>
        <w:rPr>
          <w:sz w:val="32"/>
          <w:szCs w:val="32"/>
          <w:lang w:bidi="th-TH"/>
        </w:rPr>
      </w:r>
    </w:p>
    <w:tbl>
      <w:tblPr>
        <w:tblW w:w="9720" w:type="dxa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16"/>
        <w:gridCol w:w="3022"/>
        <w:gridCol w:w="2882"/>
      </w:tblGrid>
      <w:tr>
        <w:trPr>
          <w:trHeight w:val="432" w:hRule="atLeast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 w:val="32"/>
                <w:szCs w:val="32"/>
                <w:lang w:bidi="th-TH"/>
              </w:rPr>
              <w:t>วิธีการจัดการเรียนรู้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 w:val="32"/>
                <w:szCs w:val="32"/>
                <w:lang w:bidi="th-TH"/>
              </w:rPr>
              <w:t>วิธีการประเมินผลการเรียนรู้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530" w:leader="none"/>
              </w:tabs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พิสูจนสมบัติบางประการ และแกปญหาเกี่ยวกับความน่าจะเป็นแบบมีเงื่อนไข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530" w:leader="none"/>
              </w:tabs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อธิบายและวิเคราะหความเหมือนและความแตกต่างระหว่างความน่าจะเป็นแบบอัตวิสัยและแบบนิจสิน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  <w:tab w:val="left" w:pos="1530" w:leader="none"/>
              </w:tabs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3 : 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color w:val="000000"/>
                <w:sz w:val="30"/>
                <w:sz w:val="30"/>
                <w:szCs w:val="30"/>
                <w:lang w:bidi="th-TH"/>
              </w:rPr>
              <w:t>อธิบาย คํานวณ และวิเคราะห สมบัติพื้นฐานของทฤษฎีการตัดสินใจแบบเบย์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eading9"/>
              <w:spacing w:before="0" w:after="0"/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  <w:t xml:space="preserve"> </w:t>
            </w:r>
            <w:bookmarkStart w:id="5" w:name="__DdeLink__2447_39824723011"/>
            <w:r>
              <w:rPr>
                <w:rFonts w:ascii="TH SarabunPSK" w:hAnsi="TH SarabunPSK" w:cs="TH SarabunPSK"/>
                <w:b w:val="false"/>
                <w:b w:val="false"/>
                <w:bCs w:val="false"/>
                <w:color w:val="000000"/>
                <w:sz w:val="30"/>
                <w:sz w:val="30"/>
                <w:szCs w:val="30"/>
                <w:lang w:bidi="th-TH"/>
              </w:rPr>
              <w:t>อธิบาย คํานวณ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 </w:t>
            </w:r>
            <w:bookmarkEnd w:id="5"/>
            <w:r>
              <w:rPr>
                <w:rFonts w:ascii="TH SarabunPSK" w:hAnsi="TH SarabunPSK" w:cs="TH SarabunPSK"/>
                <w:b w:val="false"/>
                <w:b w:val="false"/>
                <w:bCs w:val="false"/>
                <w:color w:val="000000"/>
                <w:sz w:val="30"/>
                <w:sz w:val="30"/>
                <w:szCs w:val="30"/>
                <w:lang w:bidi="th-TH"/>
              </w:rPr>
              <w:t>และวิเคราะห สมบัติพื้นฐานของ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การประมาณฟังก์ชันความหนาแน่น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</w:tbl>
    <w:p>
      <w:pPr>
        <w:pStyle w:val="Normal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cs="TH SarabunPSK" w:ascii="TH SarabunPSK" w:hAnsi="TH SarabunPSK"/>
          <w:sz w:val="32"/>
          <w:szCs w:val="32"/>
          <w:lang w:val="en-AU" w:bidi="th-TH"/>
        </w:rPr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/>
      </w:r>
    </w:p>
    <w:sectPr>
      <w:headerReference w:type="default" r:id="rId2"/>
      <w:type w:val="nextPage"/>
      <w:pgSz w:w="11906" w:h="16838"/>
      <w:pgMar w:left="1008" w:right="1008" w:header="734" w:top="1008" w:footer="0" w:bottom="1008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H SarabunPS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ngsana New">
    <w:charset w:val="01"/>
    <w:family w:val="roman"/>
    <w:pitch w:val="variable"/>
  </w:font>
  <w:font w:name="Wingdings">
    <w:charset w:val="01"/>
    <w:family w:val="roman"/>
    <w:pitch w:val="variable"/>
  </w:font>
  <w:font w:name="TH Niramit AS">
    <w:charset w:val="01"/>
    <w:family w:val="roman"/>
    <w:pitch w:val="variable"/>
  </w:font>
  <w:font w:name="Browallia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200" cy="22860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22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  <w:rFonts w:cs="Browallia New" w:ascii="Browallia New" w:hAnsi="Browallia New"/>
                              <w:color w:val="00000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t>6</w:t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88.5pt;margin-top:0.05pt;width:5.9pt;height:17.9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  <w:rFonts w:cs="Browallia New" w:ascii="Browallia New" w:hAnsi="Browallia New"/>
                        <w:color w:val="00000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instrText> PAGE </w:instrText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fldChar w:fldCharType="separate"/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t>6</w:t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5af5"/>
    <w:pPr>
      <w:widowControl/>
      <w:bidi w:val="0"/>
      <w:jc w:val="left"/>
    </w:pPr>
    <w:rPr>
      <w:rFonts w:ascii="Times New Roman" w:hAnsi="Times New Roman" w:eastAsia="Times New Roman" w:cs="Angsana New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d5af5"/>
    <w:rPr/>
  </w:style>
  <w:style w:type="character" w:styleId="InternetLink">
    <w:name w:val="Internet Link"/>
    <w:uiPriority w:val="99"/>
    <w:unhideWhenUsed/>
    <w:rsid w:val="00e94425"/>
    <w:rPr>
      <w:color w:val="0000FF"/>
      <w:u w:val="single"/>
    </w:rPr>
  </w:style>
  <w:style w:type="character" w:styleId="HeaderChar" w:customStyle="1">
    <w:name w:val="Header Char"/>
    <w:link w:val="Header"/>
    <w:uiPriority w:val="99"/>
    <w:qFormat/>
    <w:rsid w:val="00bd03e4"/>
    <w:rPr>
      <w:sz w:val="24"/>
      <w:szCs w:val="28"/>
      <w:lang w:bidi="ar-SA"/>
    </w:rPr>
  </w:style>
  <w:style w:type="character" w:styleId="FooterChar" w:customStyle="1">
    <w:name w:val="Footer Char"/>
    <w:link w:val="Footer"/>
    <w:uiPriority w:val="99"/>
    <w:qFormat/>
    <w:rsid w:val="00651bc8"/>
    <w:rPr>
      <w:sz w:val="24"/>
      <w:szCs w:val="24"/>
      <w:lang w:val="en-AU" w:bidi="ar-SA"/>
    </w:rPr>
  </w:style>
  <w:style w:type="character" w:styleId="BodyTextChar" w:customStyle="1">
    <w:name w:val="Body Text Char"/>
    <w:link w:val="BodyText"/>
    <w:qFormat/>
    <w:rsid w:val="006208f9"/>
    <w:rPr>
      <w:sz w:val="24"/>
      <w:szCs w:val="24"/>
      <w:lang w:bidi="ar-SA"/>
    </w:rPr>
  </w:style>
  <w:style w:type="character" w:styleId="BodyText2Char" w:customStyle="1">
    <w:name w:val="Body Text 2 Char"/>
    <w:link w:val="BodyText2"/>
    <w:qFormat/>
    <w:rsid w:val="006208f9"/>
    <w:rPr>
      <w:sz w:val="24"/>
      <w:szCs w:val="24"/>
      <w:lang w:bidi="ar-SA"/>
    </w:rPr>
  </w:style>
  <w:style w:type="character" w:styleId="ELayer1Char" w:customStyle="1">
    <w:name w:val="E Layer 1 Char"/>
    <w:basedOn w:val="DefaultParagraphFont"/>
    <w:link w:val="ELayer1"/>
    <w:qFormat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2Char" w:customStyle="1">
    <w:name w:val="E Layer 2 Char"/>
    <w:basedOn w:val="DefaultParagraphFont"/>
    <w:link w:val="ELayer2"/>
    <w:qFormat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3Char" w:customStyle="1">
    <w:name w:val="E Layer 3 Char"/>
    <w:basedOn w:val="DefaultParagraphFont"/>
    <w:link w:val="ELayer3"/>
    <w:qFormat/>
    <w:rsid w:val="00415b88"/>
    <w:rPr>
      <w:rFonts w:ascii="TH SarabunPSK" w:hAnsi="TH SarabunPSK" w:eastAsia="Angsana New" w:cs="TH SarabunPSK"/>
      <w:sz w:val="32"/>
      <w:szCs w:val="32"/>
      <w:lang w:bidi="ar-SA"/>
    </w:rPr>
  </w:style>
  <w:style w:type="character" w:styleId="ELayer1Char1" w:customStyle="1">
    <w:name w:val="E Layer+ 1 Char"/>
    <w:basedOn w:val="ELayer1Char"/>
    <w:link w:val="ELayer10"/>
    <w:qFormat/>
    <w:rsid w:val="000839b9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Heading1Char" w:customStyle="1">
    <w:name w:val="Heading 1 Char"/>
    <w:link w:val="Heading1"/>
    <w:uiPriority w:val="99"/>
    <w:qFormat/>
    <w:locked/>
    <w:rsid w:val="000839b9"/>
    <w:rPr>
      <w:rFonts w:ascii="Arial" w:hAnsi="Arial" w:cs="Arial"/>
      <w:b/>
      <w:bCs/>
      <w:kern w:val="2"/>
      <w:sz w:val="32"/>
      <w:szCs w:val="32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rsid w:val="006208f9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 w:leader="none"/>
        <w:tab w:val="right" w:pos="8306" w:leader="none"/>
      </w:tabs>
    </w:pPr>
    <w:rPr>
      <w:lang w:val="en-AU" w:eastAsia="x-none"/>
    </w:rPr>
  </w:style>
  <w:style w:type="paragraph" w:styleId="BodyText3">
    <w:name w:val="Body Text 3"/>
    <w:basedOn w:val="Normal"/>
    <w:qFormat/>
    <w:rsid w:val="008d5af5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107a7c"/>
    <w:pPr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 w:leader="none"/>
        <w:tab w:val="right" w:pos="8306" w:leader="none"/>
      </w:tabs>
    </w:pPr>
    <w:rPr>
      <w:szCs w:val="28"/>
      <w:lang w:val="x-none" w:eastAsia="x-none"/>
    </w:rPr>
  </w:style>
  <w:style w:type="paragraph" w:styleId="DocumentMap">
    <w:name w:val="Document Map"/>
    <w:basedOn w:val="Normal"/>
    <w:semiHidden/>
    <w:qFormat/>
    <w:rsid w:val="00e048c9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e94425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BodyText2Char"/>
    <w:qFormat/>
    <w:rsid w:val="006208f9"/>
    <w:pPr>
      <w:spacing w:lineRule="auto" w:line="480" w:before="0" w:after="120"/>
    </w:pPr>
    <w:rPr/>
  </w:style>
  <w:style w:type="paragraph" w:styleId="Default" w:customStyle="1">
    <w:name w:val="Default"/>
    <w:qFormat/>
    <w:rsid w:val="00d00981"/>
    <w:pPr>
      <w:widowControl/>
      <w:bidi w:val="0"/>
      <w:jc w:val="left"/>
    </w:pPr>
    <w:rPr>
      <w:rFonts w:ascii="Angsana New" w:hAnsi="Angsana New" w:eastAsia="Times New Roman" w:cs="Angsana New"/>
      <w:color w:val="000000"/>
      <w:kern w:val="0"/>
      <w:sz w:val="24"/>
      <w:szCs w:val="24"/>
      <w:lang w:val="en-US" w:eastAsia="en-US" w:bidi="th-TH"/>
    </w:rPr>
  </w:style>
  <w:style w:type="paragraph" w:styleId="ELayer1" w:customStyle="1">
    <w:name w:val="E Layer 1"/>
    <w:link w:val="ELayer1Char"/>
    <w:qFormat/>
    <w:rsid w:val="00415b88"/>
    <w:pPr>
      <w:widowControl/>
      <w:tabs>
        <w:tab w:val="left" w:pos="7920" w:leader="none"/>
      </w:tabs>
      <w:bidi w:val="0"/>
      <w:spacing w:lineRule="auto" w:line="247" w:before="0" w:after="14"/>
      <w:ind w:left="270" w:right="2691" w:hanging="270"/>
      <w:jc w:val="left"/>
    </w:pPr>
    <w:rPr>
      <w:rFonts w:ascii="TH SarabunPSK" w:hAnsi="TH SarabunPSK" w:eastAsia="Angsana New" w:cs="TH SarabunPSK"/>
      <w:color w:val="000000"/>
      <w:kern w:val="0"/>
      <w:sz w:val="32"/>
      <w:szCs w:val="32"/>
      <w:lang w:val="en-US" w:eastAsia="en-US" w:bidi="ar-SA"/>
    </w:rPr>
  </w:style>
  <w:style w:type="paragraph" w:styleId="ELayer2" w:customStyle="1">
    <w:name w:val="E Layer 2"/>
    <w:link w:val="ELayer2Char"/>
    <w:qFormat/>
    <w:rsid w:val="00415b88"/>
    <w:pPr>
      <w:widowControl/>
      <w:bidi w:val="0"/>
      <w:spacing w:lineRule="auto" w:line="247" w:before="0" w:after="14"/>
      <w:ind w:left="1080" w:right="2691" w:hanging="360"/>
      <w:jc w:val="left"/>
    </w:pPr>
    <w:rPr>
      <w:rFonts w:ascii="TH SarabunPSK" w:hAnsi="TH SarabunPSK" w:eastAsia="Angsana New" w:cs="TH SarabunPSK"/>
      <w:color w:val="000000"/>
      <w:kern w:val="0"/>
      <w:sz w:val="32"/>
      <w:szCs w:val="32"/>
      <w:lang w:val="en-US" w:eastAsia="en-US" w:bidi="ar-SA"/>
    </w:rPr>
  </w:style>
  <w:style w:type="paragraph" w:styleId="ELayer3" w:customStyle="1">
    <w:name w:val="E Layer 3"/>
    <w:link w:val="ELayer3Char"/>
    <w:qFormat/>
    <w:rsid w:val="00415b88"/>
    <w:pPr>
      <w:widowControl/>
      <w:bidi w:val="0"/>
      <w:spacing w:lineRule="auto" w:line="247" w:before="0" w:after="14"/>
      <w:ind w:left="1620" w:right="2691" w:hanging="180"/>
      <w:jc w:val="left"/>
    </w:pPr>
    <w:rPr>
      <w:rFonts w:ascii="TH SarabunPSK" w:hAnsi="TH SarabunPSK" w:eastAsia="Angsana New" w:cs="TH SarabunPSK"/>
      <w:color w:val="auto"/>
      <w:kern w:val="0"/>
      <w:sz w:val="32"/>
      <w:szCs w:val="32"/>
      <w:lang w:val="en-US" w:eastAsia="en-US" w:bidi="ar-SA"/>
    </w:rPr>
  </w:style>
  <w:style w:type="paragraph" w:styleId="ELayer11" w:customStyle="1">
    <w:name w:val="E Layer+ 1"/>
    <w:basedOn w:val="ELayer1"/>
    <w:link w:val="ELayer1Char0"/>
    <w:qFormat/>
    <w:rsid w:val="000839b9"/>
    <w:pPr>
      <w:tabs>
        <w:tab w:val="left" w:pos="7200" w:leader="none"/>
        <w:tab w:val="lef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27b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FC2CB-ED45-48A0-A227-B64196E3DA4E}"/>
</file>

<file path=customXml/itemProps4.xml><?xml version="1.0" encoding="utf-8"?>
<ds:datastoreItem xmlns:ds="http://schemas.openxmlformats.org/officeDocument/2006/customXml" ds:itemID="{C786617C-8870-4992-8AFE-55260158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LibreOffice/6.0.7.3$Linux_X86_64 LibreOffice_project/00m0$Build-3</Application>
  <Pages>6</Pages>
  <Words>1233</Words>
  <Characters>4724</Characters>
  <CharactersWithSpaces>5686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dc:description/>
  <cp:lastModifiedBy/>
  <cp:revision>47</cp:revision>
  <cp:lastPrinted>2022-01-19T02:22:00Z</cp:lastPrinted>
  <dcterms:created xsi:type="dcterms:W3CDTF">2022-01-26T02:22:00Z</dcterms:created>
  <dcterms:modified xsi:type="dcterms:W3CDTF">2022-02-17T17:21:58Z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0x0101004369C907142022428E6C240DD38688FD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