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9646" w14:textId="77777777" w:rsidR="000201C0" w:rsidRPr="003C4AC9" w:rsidRDefault="000201C0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1C21E861" w14:textId="77777777" w:rsidR="000201C0" w:rsidRDefault="000201C0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5BDC88C2" w14:textId="77777777" w:rsidR="000201C0" w:rsidRPr="00EA4CC0" w:rsidRDefault="000201C0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201C0" w:rsidRPr="00EA4CC0" w14:paraId="1E5731A8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B2B" w14:textId="77777777" w:rsidR="000201C0" w:rsidRPr="00EA4CC0" w:rsidRDefault="000201C0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0201C0" w:rsidRPr="00EA4CC0" w14:paraId="4AED535F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620" w14:textId="77777777" w:rsidR="000201C0" w:rsidRPr="00EA4CC0" w:rsidRDefault="000201C0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90FB706" w14:textId="77777777" w:rsidR="000201C0" w:rsidRPr="00EA4CC0" w:rsidRDefault="000201C0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0201C0" w:rsidRPr="00EA4CC0" w14:paraId="33EC1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676" w14:textId="77777777" w:rsidR="000201C0" w:rsidRPr="00EA4CC0" w:rsidRDefault="000201C0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438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438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6FCA0343" w14:textId="77777777" w:rsidR="000201C0" w:rsidRPr="00EA4CC0" w:rsidRDefault="000201C0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ทฤษฎีจุดตรึงและการประยุกต์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Fixed Point Theory and Applications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201C0" w:rsidRPr="00EA4CC0" w14:paraId="3E8F151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BC8" w14:textId="77777777" w:rsidR="000201C0" w:rsidRPr="00EA4CC0" w:rsidRDefault="000201C0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122937D4" w14:textId="77777777" w:rsidR="000201C0" w:rsidRPr="00EA4CC0" w:rsidRDefault="000201C0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24F6807" w14:textId="77777777" w:rsidR="000201C0" w:rsidRPr="00BF439E" w:rsidRDefault="000201C0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201C0" w:rsidRPr="00BF439E" w14:paraId="14BD5F9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E3B" w14:textId="77777777" w:rsidR="000201C0" w:rsidRPr="00BF439E" w:rsidRDefault="000201C0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766F788" w14:textId="77777777" w:rsidR="000201C0" w:rsidRDefault="000201C0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2432FE0A" w14:textId="77777777" w:rsidR="000201C0" w:rsidRDefault="000201C0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5348931C" w14:textId="77777777" w:rsidR="000201C0" w:rsidRDefault="000201C0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2406BF8" w14:textId="77777777" w:rsidR="000201C0" w:rsidRDefault="000201C0" w:rsidP="00AF38B2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1C7AD7EC" w14:textId="77777777" w:rsidR="000201C0" w:rsidRDefault="000201C0" w:rsidP="00AF38B2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2FBA2F82" w14:textId="77777777" w:rsidR="000201C0" w:rsidRPr="00BF439E" w:rsidRDefault="000201C0" w:rsidP="00AF38B2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0201C0" w:rsidRPr="00BF439E" w14:paraId="5F8C3087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476" w14:textId="77777777" w:rsidR="000201C0" w:rsidRPr="00BF439E" w:rsidRDefault="000201C0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0FA1194" w14:textId="77777777" w:rsidR="000201C0" w:rsidRPr="00BF439E" w:rsidRDefault="000201C0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4812505" w14:textId="77777777" w:rsidR="000201C0" w:rsidRPr="00BF439E" w:rsidRDefault="000201C0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ดร.สุเทพ  สวนใต้</w:t>
            </w:r>
          </w:p>
          <w:p w14:paraId="79760AE1" w14:textId="77777777" w:rsidR="000201C0" w:rsidRPr="00BF439E" w:rsidRDefault="000201C0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408C4051" w14:textId="77777777" w:rsidR="000201C0" w:rsidRPr="00BF439E" w:rsidRDefault="000201C0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ดร.สุเทพ  สวนใต้</w:t>
            </w:r>
          </w:p>
        </w:tc>
      </w:tr>
      <w:tr w:rsidR="000201C0" w:rsidRPr="00BF439E" w14:paraId="42264B7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815D" w14:textId="77777777" w:rsidR="000201C0" w:rsidRPr="00BF439E" w:rsidRDefault="000201C0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332589DA" w14:textId="77777777" w:rsidR="000201C0" w:rsidRPr="00BF439E" w:rsidRDefault="000201C0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D06F46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หรือ 4</w:t>
            </w:r>
          </w:p>
        </w:tc>
      </w:tr>
      <w:tr w:rsidR="000201C0" w:rsidRPr="00BF439E" w14:paraId="24F05B0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A7C" w14:textId="77777777" w:rsidR="000201C0" w:rsidRPr="00BF439E" w:rsidRDefault="000201C0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237E2EDD" w14:textId="77777777" w:rsidR="000201C0" w:rsidRPr="00BF439E" w:rsidRDefault="000201C0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AD8A9A1" w14:textId="77777777" w:rsidR="000201C0" w:rsidRPr="00BF439E" w:rsidRDefault="000201C0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0201C0" w:rsidRPr="00BF439E" w14:paraId="1F96DC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28F" w14:textId="77777777" w:rsidR="000201C0" w:rsidRPr="00BF439E" w:rsidRDefault="000201C0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02EED610" w14:textId="77777777" w:rsidR="000201C0" w:rsidRPr="00BF439E" w:rsidRDefault="000201C0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99CFA3E" w14:textId="77777777" w:rsidR="000201C0" w:rsidRDefault="000201C0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1639171C" w14:textId="77777777" w:rsidR="000201C0" w:rsidRPr="00420B2E" w:rsidRDefault="000201C0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273846F2" w14:textId="77777777" w:rsidR="000201C0" w:rsidRPr="008226E8" w:rsidRDefault="000201C0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506671D" w14:textId="77777777" w:rsidR="000201C0" w:rsidRPr="008226E8" w:rsidRDefault="000201C0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438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438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ทฤษฎีจุดตรึงและการประยุกต์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1AE9C06" w14:textId="77777777" w:rsidR="000201C0" w:rsidRPr="008226E8" w:rsidRDefault="000201C0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32A47FE0" w14:textId="77777777" w:rsidR="000201C0" w:rsidRPr="008226E8" w:rsidRDefault="000201C0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BCA8B37" w14:textId="77777777" w:rsidR="000201C0" w:rsidRPr="008226E8" w:rsidRDefault="000201C0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44BAAD3" w14:textId="77777777" w:rsidR="000201C0" w:rsidRPr="008226E8" w:rsidRDefault="000201C0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75E54594" w14:textId="77777777" w:rsidR="000201C0" w:rsidRPr="008226E8" w:rsidRDefault="000201C0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7AB324D" w14:textId="77777777" w:rsidR="000201C0" w:rsidRPr="008226E8" w:rsidRDefault="000201C0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313 (206313)</w:t>
      </w:r>
    </w:p>
    <w:p w14:paraId="7DB5B7C5" w14:textId="77777777" w:rsidR="000201C0" w:rsidRPr="008226E8" w:rsidRDefault="000201C0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F57EDE3" w14:textId="77777777" w:rsidR="000201C0" w:rsidRPr="008226E8" w:rsidRDefault="000201C0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2B4DF7E8" w14:textId="77777777" w:rsidR="000201C0" w:rsidRPr="008226E8" w:rsidRDefault="000201C0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ทบทวนแนวคิดของปริภูมิเมตริกและปริภูมิบานาค ทฤษฎีจุดตรึงในปริภูมิเมตริกและการประยุกต์ ภาวะคอนเวกซ์ ทฤษฎีจุดตรึงในปริภูมิบานาคและการประยุกต์ การสมนัย ทฤษฎีบทจุดตรึงสำหรับการส่งหลายค่าและการประยุกต์</w:t>
      </w:r>
    </w:p>
    <w:p w14:paraId="692C3BF9" w14:textId="77777777" w:rsidR="000201C0" w:rsidRPr="008226E8" w:rsidRDefault="000201C0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1059E3D" w14:textId="77777777" w:rsidR="000201C0" w:rsidRPr="008226E8" w:rsidRDefault="000201C0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F9481BF" w14:textId="77777777" w:rsidR="000201C0" w:rsidRPr="008226E8" w:rsidRDefault="000201C0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พิสูจน์สมบัติพื้นฐานของการหดตัว การหด จุดตรึง ภาวะคอนเวกซ์ และการสมนัย</w:t>
      </w:r>
    </w:p>
    <w:p w14:paraId="6F425254" w14:textId="77777777" w:rsidR="000201C0" w:rsidRPr="008226E8" w:rsidRDefault="000201C0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อธิบายทฤษฎีบทที่สำคัญ ได้แก่ ทฤษฎีบทจุดตรึงบานาค ทฤษฎีบทจุดตรึงบราวเวอร์ ทฤษฎีบทจุดตรึงเชาเดอร์ ทฤษฎีบทจุดตรึงคาคุทานิ และทฤษฎีบทการเลือกของไมเคิล</w:t>
      </w:r>
    </w:p>
    <w:p w14:paraId="5E5D4777" w14:textId="77777777" w:rsidR="000201C0" w:rsidRPr="008226E8" w:rsidRDefault="000201C0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อธิบายการประยุกต์ของทฤษฎีบทจุดตรึงบานาคและทฤษฎีบทจุดตรึงบราวเวอร์</w:t>
      </w:r>
    </w:p>
    <w:p w14:paraId="3B8B9040" w14:textId="77777777" w:rsidR="000201C0" w:rsidRDefault="000201C0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ประยุกต์ทฤษฎีบทกับสมการเชิงฟังก์ชันและสมดุลแนช</w:t>
      </w:r>
    </w:p>
    <w:p w14:paraId="19E3D5BD" w14:textId="77777777" w:rsidR="000201C0" w:rsidRDefault="000201C0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48B7BD1" w14:textId="77777777" w:rsidR="000201C0" w:rsidRDefault="000201C0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2A2DC44A" w14:textId="77777777" w:rsidR="000201C0" w:rsidRPr="000839B9" w:rsidRDefault="000201C0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C:\\Users\\windf\\Desktop\\OBE\\PLOCLO\\c438.docx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933"/>
        <w:gridCol w:w="1934"/>
        <w:gridCol w:w="1934"/>
        <w:gridCol w:w="1934"/>
      </w:tblGrid>
      <w:tr w:rsidR="000201C0" w:rsidRPr="00083371" w14:paraId="196AB942" w14:textId="77777777" w:rsidTr="00411315">
        <w:trPr>
          <w:trHeight w:val="432"/>
        </w:trPr>
        <w:tc>
          <w:tcPr>
            <w:tcW w:w="2160" w:type="dxa"/>
            <w:shd w:val="clear" w:color="auto" w:fill="auto"/>
          </w:tcPr>
          <w:p w14:paraId="38D01D88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309AB4C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113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4FD41A0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113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2CB67BF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4113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934" w:type="dxa"/>
            <w:vAlign w:val="center"/>
          </w:tcPr>
          <w:p w14:paraId="1057F550" w14:textId="77777777" w:rsidR="000201C0" w:rsidRPr="00411315" w:rsidRDefault="000201C0" w:rsidP="000F2EF3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411315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4</w:t>
            </w:r>
          </w:p>
        </w:tc>
      </w:tr>
      <w:tr w:rsidR="000201C0" w:rsidRPr="00083371" w14:paraId="1189CEA2" w14:textId="77777777" w:rsidTr="00411315">
        <w:trPr>
          <w:trHeight w:val="432"/>
        </w:trPr>
        <w:tc>
          <w:tcPr>
            <w:tcW w:w="2160" w:type="dxa"/>
            <w:shd w:val="clear" w:color="auto" w:fill="auto"/>
          </w:tcPr>
          <w:p w14:paraId="2E51DF7C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5F76EF7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068C82E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ED46D5E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vAlign w:val="center"/>
          </w:tcPr>
          <w:p w14:paraId="16749521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201C0" w:rsidRPr="00083371" w14:paraId="31C98B1C" w14:textId="77777777" w:rsidTr="00411315">
        <w:trPr>
          <w:trHeight w:val="432"/>
        </w:trPr>
        <w:tc>
          <w:tcPr>
            <w:tcW w:w="2160" w:type="dxa"/>
            <w:shd w:val="clear" w:color="auto" w:fill="auto"/>
          </w:tcPr>
          <w:p w14:paraId="6EC8E6CE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C4B5164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07E3A2D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58AA9CF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vAlign w:val="center"/>
          </w:tcPr>
          <w:p w14:paraId="13A165C2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201C0" w:rsidRPr="00083371" w14:paraId="4AB7CF9F" w14:textId="77777777" w:rsidTr="00411315">
        <w:trPr>
          <w:trHeight w:val="432"/>
        </w:trPr>
        <w:tc>
          <w:tcPr>
            <w:tcW w:w="2160" w:type="dxa"/>
            <w:shd w:val="clear" w:color="auto" w:fill="auto"/>
          </w:tcPr>
          <w:p w14:paraId="1BEA7D87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DDE5B0B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65774E9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42CE62A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vAlign w:val="center"/>
          </w:tcPr>
          <w:p w14:paraId="498692BA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201C0" w:rsidRPr="00083371" w14:paraId="5653866B" w14:textId="77777777" w:rsidTr="00411315">
        <w:trPr>
          <w:trHeight w:val="432"/>
        </w:trPr>
        <w:tc>
          <w:tcPr>
            <w:tcW w:w="2160" w:type="dxa"/>
            <w:shd w:val="clear" w:color="auto" w:fill="auto"/>
          </w:tcPr>
          <w:p w14:paraId="08A4EFBD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A8DEB7E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719025B3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42033791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vAlign w:val="center"/>
          </w:tcPr>
          <w:p w14:paraId="1077931D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201C0" w:rsidRPr="00083371" w14:paraId="11FEDB4A" w14:textId="77777777" w:rsidTr="00411315">
        <w:trPr>
          <w:trHeight w:val="432"/>
        </w:trPr>
        <w:tc>
          <w:tcPr>
            <w:tcW w:w="2160" w:type="dxa"/>
            <w:shd w:val="clear" w:color="auto" w:fill="auto"/>
          </w:tcPr>
          <w:p w14:paraId="5D588A44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8BD32EA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D56F72C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C554DB8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vAlign w:val="center"/>
          </w:tcPr>
          <w:p w14:paraId="3F9353B3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201C0" w:rsidRPr="00083371" w14:paraId="0D366838" w14:textId="77777777" w:rsidTr="00411315">
        <w:trPr>
          <w:trHeight w:val="432"/>
        </w:trPr>
        <w:tc>
          <w:tcPr>
            <w:tcW w:w="2160" w:type="dxa"/>
            <w:shd w:val="clear" w:color="auto" w:fill="auto"/>
          </w:tcPr>
          <w:p w14:paraId="792F5084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730BF5B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429D303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2390E279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vAlign w:val="center"/>
          </w:tcPr>
          <w:p w14:paraId="084D0145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201C0" w:rsidRPr="00083371" w14:paraId="13CE769E" w14:textId="77777777" w:rsidTr="00411315">
        <w:trPr>
          <w:trHeight w:val="432"/>
        </w:trPr>
        <w:tc>
          <w:tcPr>
            <w:tcW w:w="2160" w:type="dxa"/>
            <w:shd w:val="clear" w:color="auto" w:fill="auto"/>
          </w:tcPr>
          <w:p w14:paraId="7B48F000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82C3107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261AB4B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7F5163E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1934" w:type="dxa"/>
            <w:vAlign w:val="center"/>
          </w:tcPr>
          <w:p w14:paraId="206312A1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0201C0" w:rsidRPr="00083371" w14:paraId="20E97897" w14:textId="77777777" w:rsidTr="00411315">
        <w:trPr>
          <w:trHeight w:val="432"/>
        </w:trPr>
        <w:tc>
          <w:tcPr>
            <w:tcW w:w="2160" w:type="dxa"/>
            <w:shd w:val="clear" w:color="auto" w:fill="auto"/>
          </w:tcPr>
          <w:p w14:paraId="72A953DA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1131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502C4D5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6461C49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3AB7EE7E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34" w:type="dxa"/>
            <w:vAlign w:val="center"/>
          </w:tcPr>
          <w:p w14:paraId="3D4526AC" w14:textId="77777777" w:rsidR="000201C0" w:rsidRPr="00411315" w:rsidRDefault="000201C0" w:rsidP="000F2E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F2D26FF" w14:textId="7C976CC4" w:rsidR="000201C0" w:rsidRDefault="000201C0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1CD7D82B" w14:textId="77777777" w:rsidR="000B3921" w:rsidRDefault="000B3921" w:rsidP="0045167C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FE99FF5" w14:textId="0300F227" w:rsidR="000B3921" w:rsidRDefault="000B3921" w:rsidP="0045167C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6567EA2" w14:textId="77777777" w:rsidR="000B3921" w:rsidRDefault="000B3921" w:rsidP="0045167C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323E0717" w14:textId="1F8C9981" w:rsidR="000201C0" w:rsidRDefault="000201C0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DC55D46" w14:textId="17D72361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438.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CD7F01">
        <w:rPr>
          <w:rFonts w:ascii="TH SarabunPSK" w:hAnsi="TH SarabunPSK" w:cs="TH SarabunPSK" w:hint="cs"/>
          <w:sz w:val="30"/>
          <w:szCs w:val="30"/>
          <w:cs/>
        </w:rPr>
        <w:t>1. ทบทวนแนวคิดของปริภูมิเมตริกและปริภูมิบานาค</w:t>
      </w:r>
      <w:r w:rsidRPr="00CD7F01">
        <w:rPr>
          <w:rFonts w:ascii="TH SarabunPSK" w:hAnsi="TH SarabunPSK" w:cs="TH SarabunPSK" w:hint="cs"/>
          <w:sz w:val="30"/>
          <w:szCs w:val="30"/>
          <w:cs/>
        </w:rPr>
        <w:tab/>
      </w:r>
      <w:r w:rsidRPr="00CD7F01">
        <w:rPr>
          <w:rFonts w:ascii="TH SarabunPSK" w:hAnsi="TH SarabunPSK" w:cs="TH SarabunPSK" w:hint="cs"/>
          <w:sz w:val="30"/>
          <w:szCs w:val="30"/>
          <w:cs/>
        </w:rPr>
        <w:tab/>
      </w:r>
      <w:r w:rsidR="00CD7F01">
        <w:rPr>
          <w:rFonts w:ascii="TH SarabunPSK" w:hAnsi="TH SarabunPSK" w:cs="TH SarabunPSK"/>
          <w:sz w:val="30"/>
          <w:szCs w:val="30"/>
        </w:rPr>
        <w:t xml:space="preserve"> 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3</w:t>
      </w:r>
    </w:p>
    <w:p w14:paraId="27981BC6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D7F01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  <w:t>1.1 นิยามและตัวอย่างของปริภูมิเมตริก</w:t>
      </w:r>
    </w:p>
    <w:p w14:paraId="116E5080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1.2 ปริภูมิเมตริกบริบูรณ์</w:t>
      </w:r>
    </w:p>
    <w:p w14:paraId="5013029C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CD7F01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1.3 นิยามและตัวอย่างของปริภูมินอร์มและปริภูมิบานาค</w:t>
      </w:r>
    </w:p>
    <w:p w14:paraId="0457F8C9" w14:textId="3374EE65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2. 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ทฤษฎีจุดตรึงในปริภูมิเมตริกและการประยุกต์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ab/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ab/>
        <w:t>12</w:t>
      </w:r>
    </w:p>
    <w:p w14:paraId="3DEFEFE4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ab/>
        <w:t>2.1</w:t>
      </w:r>
      <w:r w:rsidRPr="00CD7F01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ทฤษฎีจุดตรึงเบื้องต้น</w:t>
      </w:r>
    </w:p>
    <w:p w14:paraId="38D2D27F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CD7F01">
        <w:rPr>
          <w:rFonts w:ascii="TH SarabunPSK" w:hAnsi="TH SarabunPSK" w:cs="TH SarabunPSK" w:hint="cs"/>
          <w:sz w:val="30"/>
          <w:szCs w:val="30"/>
          <w:cs/>
        </w:rPr>
        <w:t>2.2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การหดตัว</w:t>
      </w:r>
    </w:p>
    <w:p w14:paraId="0AE235B8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CD7F01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CD7F01">
        <w:rPr>
          <w:rFonts w:ascii="TH SarabunPSK" w:hAnsi="TH SarabunPSK" w:cs="TH SarabunPSK" w:hint="cs"/>
          <w:sz w:val="30"/>
          <w:szCs w:val="30"/>
          <w:cs/>
        </w:rPr>
        <w:t xml:space="preserve">2.3 </w:t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ทฤษฎีบทจุดตรึงบานาค</w:t>
      </w:r>
    </w:p>
    <w:p w14:paraId="233396AF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  <w:lang w:bidi="th-TH"/>
        </w:rPr>
        <w:tab/>
        <w:t>2.4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การประยุกต์บางอย่างของทฤษฎีบทจุดตรึงบานาค</w:t>
      </w:r>
    </w:p>
    <w:p w14:paraId="0D286BF4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  <w:lang w:eastAsia="ja-JP"/>
        </w:rPr>
        <w:tab/>
      </w:r>
      <w:r w:rsidRPr="00CD7F01">
        <w:rPr>
          <w:rFonts w:ascii="TH SarabunPSK" w:hAnsi="TH SarabunPSK" w:cs="TH SarabunPSK" w:hint="cs"/>
          <w:sz w:val="30"/>
          <w:szCs w:val="30"/>
          <w:cs/>
          <w:lang w:eastAsia="ja-JP" w:bidi="th-TH"/>
        </w:rPr>
        <w:t>2.5</w:t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การวางนัยทั่วไปของทฤษฎีบทจุดตรึงบานาค</w:t>
      </w:r>
    </w:p>
    <w:p w14:paraId="62C221D7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ab/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2.6 สมบัติจุดตรึง</w:t>
      </w:r>
    </w:p>
    <w:p w14:paraId="4C9929C5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  <w:lang w:eastAsia="ja-JP"/>
        </w:rPr>
        <w:tab/>
      </w:r>
      <w:r w:rsidRPr="00CD7F01">
        <w:rPr>
          <w:rFonts w:ascii="TH SarabunPSK" w:hAnsi="TH SarabunPSK" w:cs="TH SarabunPSK" w:hint="cs"/>
          <w:sz w:val="30"/>
          <w:szCs w:val="30"/>
          <w:cs/>
        </w:rPr>
        <w:t xml:space="preserve">2.7 </w:t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การหด</w:t>
      </w:r>
    </w:p>
    <w:p w14:paraId="2AE43D4A" w14:textId="77777777" w:rsidR="000201C0" w:rsidRPr="00CD7F01" w:rsidRDefault="000201C0" w:rsidP="00CD7F01">
      <w:pPr>
        <w:tabs>
          <w:tab w:val="left" w:pos="720"/>
          <w:tab w:val="left" w:pos="7020"/>
          <w:tab w:val="left" w:pos="7920"/>
        </w:tabs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ab/>
        <w:t>2.8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ทฤษฎีบทจุดตรึงบราวเวอร์</w:t>
      </w:r>
    </w:p>
    <w:p w14:paraId="111007BE" w14:textId="3B8879B5" w:rsidR="000201C0" w:rsidRPr="00CD7F01" w:rsidRDefault="00CD7F01" w:rsidP="00CD7F01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0201C0" w:rsidRPr="00CD7F01">
        <w:rPr>
          <w:rFonts w:ascii="TH SarabunPSK" w:hAnsi="TH SarabunPSK" w:cs="TH SarabunPSK" w:hint="cs"/>
          <w:sz w:val="30"/>
          <w:szCs w:val="30"/>
          <w:cs/>
        </w:rPr>
        <w:t xml:space="preserve">2.9 </w:t>
      </w:r>
      <w:r w:rsidR="000201C0"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การประยุกต์ของทฤษฎีบทจุดตรึงบราวเวอร์</w:t>
      </w:r>
    </w:p>
    <w:p w14:paraId="2F05BEEB" w14:textId="7A83DA8E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3. 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ภาวะคอนเวกซ์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ab/>
      </w:r>
      <w:r w:rsidR="00CD7F01">
        <w:rPr>
          <w:rFonts w:ascii="TH SarabunPSK" w:eastAsia="Cordia New" w:hAnsi="TH SarabunPSK" w:cs="TH SarabunPSK"/>
          <w:sz w:val="30"/>
          <w:szCs w:val="30"/>
          <w:lang w:eastAsia="zh-CN" w:bidi="th-TH"/>
        </w:rPr>
        <w:t xml:space="preserve"> 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4.5</w:t>
      </w:r>
    </w:p>
    <w:p w14:paraId="0A7A0E5F" w14:textId="2F6478D1" w:rsidR="000201C0" w:rsidRPr="00CD7F01" w:rsidRDefault="000201C0" w:rsidP="00CD7F01">
      <w:pPr>
        <w:tabs>
          <w:tab w:val="left" w:pos="720"/>
          <w:tab w:val="left" w:pos="7920"/>
        </w:tabs>
        <w:ind w:left="72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>3.1</w:t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นิยามและตัวอย่างพื้นฐาน</w:t>
      </w:r>
    </w:p>
    <w:p w14:paraId="0786138E" w14:textId="7355083D" w:rsidR="000201C0" w:rsidRPr="00CD7F01" w:rsidRDefault="000201C0" w:rsidP="00CD7F01">
      <w:pPr>
        <w:tabs>
          <w:tab w:val="left" w:pos="720"/>
          <w:tab w:val="left" w:pos="7920"/>
        </w:tabs>
        <w:ind w:left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>3.2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กรวยคอนเวกซ์</w:t>
      </w:r>
    </w:p>
    <w:p w14:paraId="3DA8D52D" w14:textId="77777777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ab/>
        <w:t>3.3 ปริภูมิเชิงเส้นอันดับ</w:t>
      </w:r>
    </w:p>
    <w:p w14:paraId="1106E7BB" w14:textId="77777777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ab/>
        <w:t>3.4 ส่วนภายในเชิงพีชคณิตและส่วนภายในสัมพัทธ์ของเซต</w:t>
      </w:r>
    </w:p>
    <w:p w14:paraId="50F4B63E" w14:textId="77777777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ab/>
        <w:t>3.5 ส่วนปิดคลุมเชิงพีชคณิตของเซต</w:t>
      </w:r>
    </w:p>
    <w:p w14:paraId="57004309" w14:textId="77777777" w:rsidR="000201C0" w:rsidRPr="00CD7F01" w:rsidRDefault="000201C0" w:rsidP="00CD7F01">
      <w:pPr>
        <w:tabs>
          <w:tab w:val="left" w:pos="720"/>
          <w:tab w:val="left" w:pos="7920"/>
        </w:tabs>
        <w:ind w:firstLine="72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3.6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กรวยก่อกำเนิดแบบจำกัด</w:t>
      </w:r>
    </w:p>
    <w:p w14:paraId="40189A4B" w14:textId="0F324755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 xml:space="preserve">4.  </w:t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ทฤษฎีจุดตรึงในปริภูมิบานาคและการประยุกต์</w:t>
      </w:r>
      <w:r w:rsidR="00CD7F01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tab/>
        <w:t xml:space="preserve"> </w:t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6</w:t>
      </w:r>
    </w:p>
    <w:p w14:paraId="0AE409EA" w14:textId="07952099" w:rsidR="000201C0" w:rsidRPr="00CD7F01" w:rsidRDefault="000201C0" w:rsidP="00CD7F01">
      <w:pPr>
        <w:tabs>
          <w:tab w:val="left" w:pos="720"/>
          <w:tab w:val="left" w:pos="7920"/>
        </w:tabs>
        <w:ind w:firstLine="72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 xml:space="preserve">4.1 </w:t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ทฤษฎีบทจุดตรึงเชาเดอร์</w:t>
      </w:r>
    </w:p>
    <w:p w14:paraId="695D013D" w14:textId="77777777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ab/>
        <w:t>4.2 ผลสืบเนื่องบางประการของทฤษฎีบทเชาเดอร์</w:t>
      </w:r>
    </w:p>
    <w:p w14:paraId="300579F2" w14:textId="77777777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ab/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4.3 การประยุกต์กับสมการเชิงฟังก์ชัน</w:t>
      </w:r>
    </w:p>
    <w:p w14:paraId="5D240B42" w14:textId="6D6D90AC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  <w:lang w:bidi="th-TH"/>
        </w:rPr>
        <w:t>5.</w:t>
      </w:r>
      <w:r w:rsidRPr="00CD7F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การสมนัย</w:t>
      </w:r>
      <w:r w:rsidR="00CD7F01">
        <w:rPr>
          <w:rFonts w:ascii="TH SarabunPSK" w:eastAsia="Cordia New" w:hAnsi="TH SarabunPSK" w:cs="TH SarabunPSK"/>
          <w:sz w:val="30"/>
          <w:szCs w:val="30"/>
          <w:lang w:eastAsia="zh-CN" w:bidi="th-TH"/>
        </w:rPr>
        <w:tab/>
        <w:t xml:space="preserve"> 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7.5</w:t>
      </w:r>
    </w:p>
    <w:p w14:paraId="4AD0D4B8" w14:textId="77777777" w:rsidR="000201C0" w:rsidRPr="00CD7F01" w:rsidRDefault="000201C0" w:rsidP="00CD7F01">
      <w:pPr>
        <w:tabs>
          <w:tab w:val="left" w:pos="720"/>
          <w:tab w:val="left" w:pos="7920"/>
        </w:tabs>
        <w:ind w:left="360"/>
        <w:rPr>
          <w:rFonts w:ascii="TH SarabunPSK" w:hAnsi="TH SarabunPSK" w:cs="TH SarabunPSK"/>
          <w:sz w:val="30"/>
          <w:szCs w:val="30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ab/>
        <w:t>5.1 ครึ่งภาวะต่อเนื่องบน</w:t>
      </w:r>
    </w:p>
    <w:p w14:paraId="487D6658" w14:textId="77777777" w:rsidR="000201C0" w:rsidRPr="00CD7F01" w:rsidRDefault="000201C0" w:rsidP="00CD7F01">
      <w:pPr>
        <w:tabs>
          <w:tab w:val="left" w:pos="720"/>
          <w:tab w:val="left" w:pos="7920"/>
        </w:tabs>
        <w:ind w:left="36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hAnsi="TH SarabunPSK" w:cs="TH SarabunPSK" w:hint="cs"/>
          <w:sz w:val="30"/>
          <w:szCs w:val="30"/>
          <w:cs/>
        </w:rPr>
        <w:tab/>
      </w: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5.2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 xml:space="preserve"> สมบัติกราฟปิด</w:t>
      </w:r>
    </w:p>
    <w:p w14:paraId="0DCC0D19" w14:textId="77777777" w:rsidR="000201C0" w:rsidRPr="00CD7F01" w:rsidRDefault="000201C0" w:rsidP="00CD7F01">
      <w:pPr>
        <w:tabs>
          <w:tab w:val="left" w:pos="720"/>
          <w:tab w:val="left" w:pos="7920"/>
        </w:tabs>
        <w:ind w:left="36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ab/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5.3 ครึ่งภาวะต่อเนื่องล่าง</w:t>
      </w:r>
    </w:p>
    <w:p w14:paraId="681F245D" w14:textId="77777777" w:rsidR="000201C0" w:rsidRPr="00CD7F01" w:rsidRDefault="000201C0" w:rsidP="00CD7F01">
      <w:pPr>
        <w:tabs>
          <w:tab w:val="left" w:pos="720"/>
          <w:tab w:val="left" w:pos="7920"/>
        </w:tabs>
        <w:ind w:left="36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ab/>
        <w:t>5.4 การสมนัยต่อเนื่อง</w:t>
      </w:r>
    </w:p>
    <w:p w14:paraId="0DC2EB0A" w14:textId="77777777" w:rsidR="000201C0" w:rsidRPr="00CD7F01" w:rsidRDefault="000201C0" w:rsidP="00CD7F01">
      <w:pPr>
        <w:tabs>
          <w:tab w:val="left" w:pos="720"/>
          <w:tab w:val="left" w:pos="7920"/>
        </w:tabs>
        <w:ind w:left="360"/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ab/>
        <w:t>5.5 เมตริกเฮาส์ดอฟฟ์และภาวะต่อเนื่อง</w:t>
      </w:r>
    </w:p>
    <w:p w14:paraId="09BF9DA7" w14:textId="00010362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eastAsia="Cordia New" w:hAnsi="TH SarabunPSK" w:cs="TH SarabunPSK"/>
          <w:sz w:val="30"/>
          <w:szCs w:val="30"/>
          <w:lang w:eastAsia="zh-CN" w:bidi="th-TH"/>
        </w:rPr>
      </w:pP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>6. ทฤษฎีบทจุดตรึงสำหรับการส่งหลายค่าและการประยุกต์</w:t>
      </w:r>
      <w:r w:rsidRPr="00CD7F01">
        <w:rPr>
          <w:rFonts w:ascii="TH SarabunPSK" w:eastAsia="Cordia New" w:hAnsi="TH SarabunPSK" w:cs="TH SarabunPSK" w:hint="cs"/>
          <w:sz w:val="30"/>
          <w:szCs w:val="30"/>
          <w:cs/>
          <w:lang w:eastAsia="zh-CN" w:bidi="th-TH"/>
        </w:rPr>
        <w:tab/>
        <w:t>12</w:t>
      </w:r>
    </w:p>
    <w:p w14:paraId="170FB9EE" w14:textId="77777777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eastAsia="Cordia New" w:hAnsi="TH SarabunPSK" w:cs="TH SarabunPSK"/>
          <w:b/>
          <w:sz w:val="30"/>
          <w:szCs w:val="30"/>
          <w:lang w:eastAsia="zh-CN" w:bidi="th-TH"/>
        </w:rPr>
      </w:pPr>
      <w:r w:rsidRPr="00CD7F01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ab/>
        <w:t>6.1 ทฤษฎีบทจุดตรึงคาคุทานิ</w:t>
      </w:r>
    </w:p>
    <w:p w14:paraId="515CA405" w14:textId="77777777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eastAsia="Cordia New" w:hAnsi="TH SarabunPSK" w:cs="TH SarabunPSK"/>
          <w:b/>
          <w:sz w:val="30"/>
          <w:szCs w:val="30"/>
          <w:lang w:eastAsia="zh-CN" w:bidi="th-TH"/>
        </w:rPr>
      </w:pPr>
      <w:r w:rsidRPr="00CD7F01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ab/>
        <w:t>6.2 ทฤษฎีบทการเลือกของไมเคิล</w:t>
      </w:r>
    </w:p>
    <w:p w14:paraId="6A0D355F" w14:textId="77777777" w:rsidR="000201C0" w:rsidRPr="00CD7F01" w:rsidRDefault="000201C0" w:rsidP="00CD7F01">
      <w:pPr>
        <w:tabs>
          <w:tab w:val="left" w:pos="720"/>
          <w:tab w:val="left" w:pos="7920"/>
        </w:tabs>
        <w:rPr>
          <w:rFonts w:ascii="TH SarabunPSK" w:eastAsia="Cordia New" w:hAnsi="TH SarabunPSK" w:cs="TH SarabunPSK"/>
          <w:b/>
          <w:sz w:val="30"/>
          <w:szCs w:val="30"/>
          <w:lang w:eastAsia="zh-CN" w:bidi="th-TH"/>
        </w:rPr>
      </w:pPr>
      <w:r w:rsidRPr="00CD7F01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ab/>
        <w:t>6.3 การสมนัยแบบหดตัว</w:t>
      </w:r>
    </w:p>
    <w:p w14:paraId="0946A4C5" w14:textId="3E4D4FA0" w:rsidR="000201C0" w:rsidRPr="005E4C2D" w:rsidRDefault="000201C0" w:rsidP="00CD7F01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D7F01">
        <w:rPr>
          <w:rFonts w:ascii="TH SarabunPSK" w:eastAsia="Cordia New" w:hAnsi="TH SarabunPSK" w:cs="TH SarabunPSK" w:hint="cs"/>
          <w:b/>
          <w:sz w:val="30"/>
          <w:szCs w:val="30"/>
          <w:cs/>
          <w:lang w:eastAsia="zh-CN" w:bidi="th-TH"/>
        </w:rPr>
        <w:tab/>
        <w:t>6.4 การประยุกต์กับสมดุลแนช</w:t>
      </w:r>
      <w:r w:rsidRPr="00CD7F01">
        <w:rPr>
          <w:rFonts w:ascii="TH SarabunPSK" w:eastAsia="Browallia New" w:hAnsi="TH SarabunPSK" w:cs="TH SarabunPSK" w:hint="cs"/>
          <w:color w:val="000000"/>
          <w:sz w:val="30"/>
          <w:szCs w:val="30"/>
          <w:lang w:bidi="th-TH"/>
        </w:rPr>
        <w:tab/>
      </w:r>
      <w:r w:rsidRPr="005E4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62BD3DC" w14:textId="77777777" w:rsidR="000201C0" w:rsidRPr="008226E8" w:rsidRDefault="000201C0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59D64DA2" w14:textId="77777777" w:rsidR="000201C0" w:rsidRDefault="000201C0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0D6D3724" w14:textId="77777777" w:rsidR="000201C0" w:rsidRPr="0094071D" w:rsidRDefault="000201C0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BADC9CD" w14:textId="77777777" w:rsidR="005F2015" w:rsidRPr="005F2015" w:rsidRDefault="000201C0" w:rsidP="005F201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5F2015" w:rsidRPr="005F2015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ปรับคำอธิบายลักษณะกระบวนวิชาภาษาอังกฤษเพื่อให้สอดคล้องกับแนวปฏิบัติของมหาวิทยาลัย</w:t>
      </w:r>
    </w:p>
    <w:p w14:paraId="652392E4" w14:textId="77777777" w:rsidR="005F2015" w:rsidRPr="005F2015" w:rsidRDefault="005F2015" w:rsidP="005F201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5F2015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5F2015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5F2015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5F201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5F2015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5F2015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5F2015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5F2015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569CF4E0" w14:textId="20C71CD5" w:rsidR="000201C0" w:rsidRDefault="005F2015" w:rsidP="005F2015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5F2015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5F2015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0201C0" w:rsidRPr="0043049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0201C0" w:rsidRPr="00430497">
        <w:rPr>
          <w:rFonts w:ascii="TH SarabunPSK" w:hAnsi="TH SarabunPSK" w:cs="TH SarabunPSK"/>
          <w:sz w:val="30"/>
          <w:szCs w:val="30"/>
          <w:lang w:bidi="th-TH"/>
        </w:rPr>
        <w:t>Outcome-Based Education (OBE)</w:t>
      </w:r>
      <w:r w:rsidR="000201C0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5E6B23BE" w14:textId="77777777" w:rsidR="000201C0" w:rsidRDefault="000201C0" w:rsidP="009441E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6FC2A10" w14:textId="5B2850D4" w:rsidR="001B2424" w:rsidRPr="00CF0C43" w:rsidRDefault="000201C0" w:rsidP="001B2424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1B242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1B2424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1B242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1B2424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1B2424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1B242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1B2424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1B242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1B2424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1B2424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62E6596A" w14:textId="77777777" w:rsidR="001B2424" w:rsidRPr="00CF0C43" w:rsidRDefault="001B2424" w:rsidP="001B242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A011ACA" w14:textId="77777777" w:rsidR="001B2424" w:rsidRPr="00CF0C43" w:rsidRDefault="001B2424" w:rsidP="001B2424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576D84B5" w14:textId="77777777" w:rsidR="001B2424" w:rsidRDefault="001B2424" w:rsidP="001B24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7799D66" wp14:editId="4F982D04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8FEFB" w14:textId="77777777" w:rsidR="001B2424" w:rsidRPr="00CF0C43" w:rsidRDefault="001B2424" w:rsidP="001B24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5AA93E3" w14:textId="77777777" w:rsidR="001B2424" w:rsidRPr="00CF0C43" w:rsidRDefault="001B2424" w:rsidP="001B24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1581901D" w14:textId="77777777" w:rsidR="001B2424" w:rsidRDefault="001B2424" w:rsidP="001B24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3B50B190" w14:textId="40B5B22F" w:rsidR="000201C0" w:rsidRPr="008226E8" w:rsidRDefault="001B2424" w:rsidP="001B2424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21B8A1FA" w14:textId="77777777" w:rsidR="000201C0" w:rsidRPr="008226E8" w:rsidRDefault="000201C0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432AC44B" w14:textId="213BB3D9" w:rsidR="000201C0" w:rsidRDefault="000201C0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438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438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Fixed Point Theory and Applications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0A6F624E" w14:textId="51755DB4" w:rsidR="00BF6947" w:rsidRPr="008226E8" w:rsidRDefault="00BF6947" w:rsidP="00BF6947">
      <w:pPr>
        <w:pStyle w:val="Default"/>
        <w:tabs>
          <w:tab w:val="left" w:pos="1620"/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 w:rsidR="00A800FA" w:rsidRPr="00A800FA">
        <w:rPr>
          <w:rFonts w:ascii="TH SarabunPSK" w:hAnsi="TH SarabunPSK" w:cs="TH SarabunPSK"/>
          <w:noProof/>
          <w:sz w:val="30"/>
          <w:szCs w:val="30"/>
        </w:rPr>
        <w:t>FIXED POINT THEORY AND APPL</w:t>
      </w:r>
    </w:p>
    <w:p w14:paraId="5AB94E3B" w14:textId="77777777" w:rsidR="000201C0" w:rsidRPr="008226E8" w:rsidRDefault="000201C0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11FB173C" w14:textId="77777777" w:rsidR="000201C0" w:rsidRPr="008226E8" w:rsidRDefault="000201C0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8B71E8E" w14:textId="77777777" w:rsidR="000201C0" w:rsidRPr="00DA2745" w:rsidRDefault="000201C0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541C0B8C" w14:textId="77777777" w:rsidR="000201C0" w:rsidRPr="00DA2745" w:rsidRDefault="000201C0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2F3CB28" w14:textId="77777777" w:rsidR="000201C0" w:rsidRPr="008226E8" w:rsidRDefault="000201C0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6DC59A71" w14:textId="77777777" w:rsidR="000201C0" w:rsidRPr="008226E8" w:rsidRDefault="000201C0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06F46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313 (206313)</w:t>
      </w:r>
    </w:p>
    <w:p w14:paraId="50C2C3E1" w14:textId="77777777" w:rsidR="000201C0" w:rsidRPr="008226E8" w:rsidRDefault="000201C0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AE17F0E" w14:textId="77777777" w:rsidR="000201C0" w:rsidRPr="008226E8" w:rsidRDefault="000201C0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17D420A4" w14:textId="659936AB" w:rsidR="000201C0" w:rsidRPr="008226E8" w:rsidRDefault="000201C0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Review the concept of metric spaces and Banach spaces, fixed point theory in metric spaces</w:t>
      </w:r>
      <w:r w:rsidR="00AF55F5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and applications</w: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, convexity, fixed point theory in Banach spaces and applications, correspondences, fixed point theory for multi-valued mappings</w:t>
      </w:r>
      <w:r w:rsidR="00AF55F5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and applications</w:t>
      </w:r>
    </w:p>
    <w:p w14:paraId="3FF50447" w14:textId="77777777" w:rsidR="000201C0" w:rsidRPr="008226E8" w:rsidRDefault="000201C0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5B1E352" w14:textId="77777777" w:rsidR="000201C0" w:rsidRPr="008226E8" w:rsidRDefault="000201C0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46A9E3B" w14:textId="77777777" w:rsidR="000201C0" w:rsidRPr="008226E8" w:rsidRDefault="000201C0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prove elementary properties of contractions, retractions, fixed points, convexity, and correspondences;</w:t>
      </w:r>
    </w:p>
    <w:p w14:paraId="0944DDF5" w14:textId="77777777" w:rsidR="000201C0" w:rsidRPr="008226E8" w:rsidRDefault="000201C0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hAnsi="TH SarabunPSK" w:cs="TH SarabunPSK"/>
          <w:noProof/>
          <w:color w:val="000000"/>
          <w:sz w:val="30"/>
          <w:szCs w:val="30"/>
        </w:rPr>
        <w:t>explain important theorems, including the Banach fixed point theorem, the Brouwer fixed point theorem, the Schauder fixed point theorems, Kakutani’s fixed point theorem, and Michael’s selection theorem;</w:t>
      </w:r>
    </w:p>
    <w:p w14:paraId="3203AD09" w14:textId="77777777" w:rsidR="000201C0" w:rsidRPr="008226E8" w:rsidRDefault="000201C0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explain applications of the Banach fixed point theorem and the Brouwer fixed point theorem;</w:t>
      </w:r>
    </w:p>
    <w:p w14:paraId="5212127A" w14:textId="77777777" w:rsidR="000201C0" w:rsidRDefault="000201C0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D06F46">
        <w:rPr>
          <w:rFonts w:ascii="TH SarabunPSK" w:eastAsia="Angsana New" w:hAnsi="TH SarabunPSK" w:cs="TH SarabunPSK"/>
          <w:noProof/>
          <w:sz w:val="30"/>
          <w:szCs w:val="30"/>
        </w:rPr>
        <w:t>apply theorems to functional equations and the Nash equilibrium.</w:t>
      </w:r>
    </w:p>
    <w:p w14:paraId="79F1F1F9" w14:textId="77777777" w:rsidR="000201C0" w:rsidRPr="004B63FF" w:rsidRDefault="000201C0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1DCC41C" w14:textId="77777777" w:rsidR="000201C0" w:rsidRPr="008226E8" w:rsidRDefault="000201C0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D5C3A52" w14:textId="0A261768" w:rsidR="000201C0" w:rsidRPr="001446B4" w:rsidRDefault="000201C0" w:rsidP="001446B4">
      <w:pPr>
        <w:tabs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INCLUDETEXT </w:instrText>
      </w:r>
      <w:r w:rsidRPr="00D06F46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C:\\Users\\windf\\Desktop\\OBE\\Exxx\\E438.docx</w:instrText>
      </w: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</w:instrText>
      </w:r>
      <w:r w:rsidRPr="007F448F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446B4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Review the concept </w:t>
      </w:r>
      <w:r w:rsidRPr="001446B4">
        <w:rPr>
          <w:rFonts w:ascii="TH SarabunPSK" w:hAnsi="TH SarabunPSK" w:cs="TH SarabunPSK" w:hint="cs"/>
          <w:sz w:val="30"/>
          <w:szCs w:val="30"/>
        </w:rPr>
        <w:t>of metric spaces and Banach spaces</w:t>
      </w:r>
      <w:r w:rsidRPr="001446B4">
        <w:rPr>
          <w:rFonts w:ascii="TH SarabunPSK" w:hAnsi="TH SarabunPSK" w:cs="TH SarabunPSK" w:hint="cs"/>
          <w:sz w:val="30"/>
          <w:szCs w:val="30"/>
        </w:rPr>
        <w:tab/>
      </w:r>
      <w:r w:rsidR="001446B4">
        <w:rPr>
          <w:rFonts w:ascii="TH SarabunPSK" w:hAnsi="TH SarabunPSK" w:cs="TH SarabunPSK"/>
          <w:sz w:val="30"/>
          <w:szCs w:val="30"/>
        </w:rPr>
        <w:t xml:space="preserve"> </w:t>
      </w:r>
      <w:r w:rsidRPr="001446B4">
        <w:rPr>
          <w:rFonts w:ascii="TH SarabunPSK" w:hAnsi="TH SarabunPSK" w:cs="TH SarabunPSK" w:hint="cs"/>
          <w:sz w:val="30"/>
          <w:szCs w:val="30"/>
        </w:rPr>
        <w:t xml:space="preserve">3 </w:t>
      </w:r>
    </w:p>
    <w:p w14:paraId="76360E96" w14:textId="77777777" w:rsidR="000201C0" w:rsidRPr="001446B4" w:rsidRDefault="000201C0" w:rsidP="00C96E5C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1446B4">
        <w:rPr>
          <w:rFonts w:ascii="TH SarabunPSK" w:hAnsi="TH SarabunPSK" w:cs="TH SarabunPSK" w:hint="cs"/>
          <w:sz w:val="30"/>
          <w:szCs w:val="30"/>
        </w:rPr>
        <w:t xml:space="preserve">1.1 Definitions </w:t>
      </w:r>
      <w:r w:rsidRPr="001446B4">
        <w:rPr>
          <w:rFonts w:ascii="TH SarabunPSK" w:hAnsi="TH SarabunPSK" w:cs="TH SarabunPSK" w:hint="cs"/>
          <w:sz w:val="30"/>
          <w:szCs w:val="30"/>
          <w:lang w:bidi="th-TH"/>
        </w:rPr>
        <w:t xml:space="preserve">and </w:t>
      </w:r>
      <w:r w:rsidRPr="001446B4">
        <w:rPr>
          <w:rFonts w:ascii="TH SarabunPSK" w:hAnsi="TH SarabunPSK" w:cs="TH SarabunPSK" w:hint="cs"/>
          <w:sz w:val="30"/>
          <w:szCs w:val="30"/>
        </w:rPr>
        <w:t xml:space="preserve">examples of metric spaces </w:t>
      </w:r>
    </w:p>
    <w:p w14:paraId="12DA968B" w14:textId="77777777" w:rsidR="000201C0" w:rsidRPr="001446B4" w:rsidRDefault="000201C0" w:rsidP="00C96E5C">
      <w:pPr>
        <w:pStyle w:val="ELayer1"/>
        <w:ind w:left="990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1.2 Complete metric spaces </w:t>
      </w:r>
    </w:p>
    <w:p w14:paraId="66CE0452" w14:textId="77777777" w:rsidR="000201C0" w:rsidRPr="001446B4" w:rsidRDefault="000201C0" w:rsidP="00C96E5C">
      <w:pPr>
        <w:pStyle w:val="ELayer1"/>
        <w:ind w:left="990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1.3 Definitions and examples of normed spaces and Banach spaces </w:t>
      </w:r>
    </w:p>
    <w:p w14:paraId="0888B5FA" w14:textId="7542E510" w:rsidR="000201C0" w:rsidRPr="001446B4" w:rsidRDefault="000201C0" w:rsidP="000F2EF3">
      <w:pPr>
        <w:pStyle w:val="ELayer1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>2. Fixed point</w:t>
      </w:r>
      <w:r w:rsidRPr="001446B4">
        <w:rPr>
          <w:rFonts w:eastAsia="Calibri" w:hint="cs"/>
          <w:sz w:val="30"/>
          <w:szCs w:val="30"/>
          <w:lang w:bidi="th-TH"/>
        </w:rPr>
        <w:t xml:space="preserve"> theory in metric </w:t>
      </w:r>
      <w:r w:rsidRPr="001446B4">
        <w:rPr>
          <w:rFonts w:hint="cs"/>
          <w:sz w:val="30"/>
          <w:szCs w:val="30"/>
        </w:rPr>
        <w:t>spaces</w:t>
      </w:r>
      <w:r w:rsidR="00AF55F5" w:rsidRPr="00AF55F5">
        <w:rPr>
          <w:rFonts w:eastAsia="AngsanaNew"/>
          <w:noProof/>
          <w:sz w:val="30"/>
          <w:szCs w:val="30"/>
          <w:lang w:bidi="th-TH"/>
        </w:rPr>
        <w:t xml:space="preserve"> </w:t>
      </w:r>
      <w:r w:rsidR="00AF55F5">
        <w:rPr>
          <w:rFonts w:eastAsia="AngsanaNew"/>
          <w:noProof/>
          <w:sz w:val="30"/>
          <w:szCs w:val="30"/>
          <w:lang w:bidi="th-TH"/>
        </w:rPr>
        <w:t>and applications</w:t>
      </w:r>
      <w:r w:rsidRPr="001446B4">
        <w:rPr>
          <w:rFonts w:hint="cs"/>
          <w:sz w:val="30"/>
          <w:szCs w:val="30"/>
        </w:rPr>
        <w:tab/>
        <w:t xml:space="preserve">12 </w:t>
      </w:r>
    </w:p>
    <w:p w14:paraId="7FB9F8C8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color w:val="000000" w:themeColor="text1"/>
          <w:sz w:val="30"/>
          <w:szCs w:val="30"/>
        </w:rPr>
        <w:t>2.1 Introduction</w:t>
      </w:r>
      <w:r w:rsidRPr="001446B4">
        <w:rPr>
          <w:rFonts w:hint="cs"/>
          <w:sz w:val="30"/>
          <w:szCs w:val="30"/>
        </w:rPr>
        <w:t xml:space="preserve"> of fixed point theory </w:t>
      </w:r>
    </w:p>
    <w:p w14:paraId="1C89FD01" w14:textId="77777777" w:rsidR="000201C0" w:rsidRPr="001446B4" w:rsidRDefault="000201C0" w:rsidP="000F2EF3">
      <w:pPr>
        <w:pStyle w:val="ELayer2"/>
        <w:rPr>
          <w:sz w:val="30"/>
          <w:szCs w:val="30"/>
          <w:lang w:bidi="th-TH"/>
        </w:rPr>
      </w:pPr>
      <w:r w:rsidRPr="001446B4">
        <w:rPr>
          <w:rFonts w:hint="cs"/>
          <w:sz w:val="30"/>
          <w:szCs w:val="30"/>
        </w:rPr>
        <w:t>2.2</w:t>
      </w:r>
      <w:r w:rsidRPr="001446B4">
        <w:rPr>
          <w:rFonts w:hint="cs"/>
          <w:sz w:val="30"/>
          <w:szCs w:val="30"/>
          <w:lang w:bidi="th-TH"/>
        </w:rPr>
        <w:t xml:space="preserve"> Contractions </w:t>
      </w:r>
    </w:p>
    <w:p w14:paraId="74BBDC03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  <w:lang w:bidi="th-TH"/>
        </w:rPr>
        <w:t>2.3 The</w:t>
      </w:r>
      <w:r w:rsidRPr="001446B4">
        <w:rPr>
          <w:rFonts w:hint="cs"/>
          <w:sz w:val="30"/>
          <w:szCs w:val="30"/>
        </w:rPr>
        <w:t xml:space="preserve"> Banach fixed point theorem </w:t>
      </w:r>
    </w:p>
    <w:p w14:paraId="65F45852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color w:val="000000" w:themeColor="text1"/>
          <w:sz w:val="30"/>
          <w:szCs w:val="30"/>
        </w:rPr>
        <w:t>2.4 Some applications of</w:t>
      </w:r>
      <w:r w:rsidRPr="001446B4">
        <w:rPr>
          <w:rFonts w:hint="cs"/>
          <w:sz w:val="30"/>
          <w:szCs w:val="30"/>
        </w:rPr>
        <w:t xml:space="preserve"> the Banach fixed point theorem </w:t>
      </w:r>
    </w:p>
    <w:p w14:paraId="69ED3E18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2.5 Generalizations of the Banach fixed point theorem </w:t>
      </w:r>
    </w:p>
    <w:p w14:paraId="4D7405AB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>2.6 Fixed point</w:t>
      </w:r>
      <w:r w:rsidRPr="001446B4">
        <w:rPr>
          <w:rFonts w:hint="cs"/>
          <w:sz w:val="30"/>
          <w:szCs w:val="30"/>
          <w:lang w:bidi="th-TH"/>
        </w:rPr>
        <w:t xml:space="preserve"> property </w:t>
      </w:r>
    </w:p>
    <w:p w14:paraId="770A60FC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lastRenderedPageBreak/>
        <w:t xml:space="preserve">2.7 Retractions </w:t>
      </w:r>
    </w:p>
    <w:p w14:paraId="6437AB04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2.8 The Brouwer fixed point theorem </w:t>
      </w:r>
    </w:p>
    <w:p w14:paraId="46A8A1E1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>2.9 Applications of the Brouwer</w:t>
      </w:r>
      <w:r w:rsidRPr="001446B4">
        <w:rPr>
          <w:rFonts w:hint="cs"/>
          <w:sz w:val="30"/>
          <w:szCs w:val="30"/>
          <w:lang w:bidi="th-TH"/>
        </w:rPr>
        <w:t xml:space="preserve"> fixed</w:t>
      </w:r>
      <w:r w:rsidRPr="001446B4">
        <w:rPr>
          <w:rFonts w:hint="cs"/>
          <w:sz w:val="30"/>
          <w:szCs w:val="30"/>
        </w:rPr>
        <w:t xml:space="preserve"> point theorem </w:t>
      </w:r>
    </w:p>
    <w:p w14:paraId="4E56FE05" w14:textId="45CAA4EE" w:rsidR="000201C0" w:rsidRPr="001446B4" w:rsidRDefault="000201C0" w:rsidP="001446B4">
      <w:pPr>
        <w:pStyle w:val="ELayer2"/>
        <w:tabs>
          <w:tab w:val="left" w:pos="7920"/>
        </w:tabs>
        <w:ind w:left="0" w:right="-999" w:firstLine="0"/>
        <w:rPr>
          <w:sz w:val="30"/>
          <w:szCs w:val="30"/>
          <w:lang w:bidi="th-TH"/>
        </w:rPr>
      </w:pPr>
      <w:r w:rsidRPr="001446B4">
        <w:rPr>
          <w:rFonts w:hint="cs"/>
          <w:sz w:val="30"/>
          <w:szCs w:val="30"/>
          <w:lang w:bidi="th-TH"/>
        </w:rPr>
        <w:t>3.</w:t>
      </w:r>
      <w:r w:rsidRPr="001446B4">
        <w:rPr>
          <w:rFonts w:hint="cs"/>
          <w:sz w:val="30"/>
          <w:szCs w:val="30"/>
        </w:rPr>
        <w:t xml:space="preserve"> Convexity</w:t>
      </w:r>
      <w:r w:rsidRPr="001446B4">
        <w:rPr>
          <w:rFonts w:hint="cs"/>
          <w:sz w:val="30"/>
          <w:szCs w:val="30"/>
        </w:rPr>
        <w:tab/>
      </w:r>
      <w:r w:rsidR="001446B4">
        <w:rPr>
          <w:sz w:val="30"/>
          <w:szCs w:val="30"/>
        </w:rPr>
        <w:t xml:space="preserve"> </w:t>
      </w:r>
      <w:r w:rsidRPr="001446B4">
        <w:rPr>
          <w:rFonts w:hint="cs"/>
          <w:sz w:val="30"/>
          <w:szCs w:val="30"/>
        </w:rPr>
        <w:t xml:space="preserve">4.5 </w:t>
      </w:r>
    </w:p>
    <w:p w14:paraId="7A5BD204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3.1 Basic definitions and examples </w:t>
      </w:r>
    </w:p>
    <w:p w14:paraId="2F94D93E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3.2 Convex cones </w:t>
      </w:r>
    </w:p>
    <w:p w14:paraId="7C5EE7AD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3.3 Order linear spaces </w:t>
      </w:r>
    </w:p>
    <w:p w14:paraId="5FEAD4FA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3.4 Algebraic and relative interior of a set </w:t>
      </w:r>
    </w:p>
    <w:p w14:paraId="4EF961D9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3.5 Algebraic </w:t>
      </w:r>
      <w:r w:rsidRPr="001446B4">
        <w:rPr>
          <w:rFonts w:hint="cs"/>
          <w:sz w:val="30"/>
          <w:szCs w:val="30"/>
          <w:lang w:bidi="th-TH"/>
        </w:rPr>
        <w:t>closure</w:t>
      </w:r>
      <w:r w:rsidRPr="001446B4">
        <w:rPr>
          <w:rFonts w:hint="cs"/>
          <w:sz w:val="30"/>
          <w:szCs w:val="30"/>
        </w:rPr>
        <w:t xml:space="preserve"> of a set </w:t>
      </w:r>
    </w:p>
    <w:p w14:paraId="502B924E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  <w:lang w:bidi="th-TH"/>
        </w:rPr>
        <w:t>3.6</w:t>
      </w:r>
      <w:r w:rsidRPr="001446B4">
        <w:rPr>
          <w:rFonts w:hint="cs"/>
          <w:sz w:val="30"/>
          <w:szCs w:val="30"/>
        </w:rPr>
        <w:t xml:space="preserve"> Finitely generated cones  </w:t>
      </w:r>
    </w:p>
    <w:p w14:paraId="32989753" w14:textId="4E1592AD" w:rsidR="000201C0" w:rsidRPr="001446B4" w:rsidRDefault="000201C0" w:rsidP="001446B4">
      <w:pPr>
        <w:pStyle w:val="ELayer2"/>
        <w:ind w:left="0" w:right="-999" w:firstLine="0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>4. Fixed point theory in Banach spaces and applications</w:t>
      </w:r>
      <w:r w:rsidRPr="001446B4">
        <w:rPr>
          <w:rFonts w:hint="cs"/>
          <w:sz w:val="30"/>
          <w:szCs w:val="30"/>
        </w:rPr>
        <w:tab/>
      </w:r>
      <w:r w:rsidR="001446B4">
        <w:rPr>
          <w:sz w:val="30"/>
          <w:szCs w:val="30"/>
        </w:rPr>
        <w:tab/>
      </w:r>
      <w:r w:rsidR="001446B4">
        <w:rPr>
          <w:sz w:val="30"/>
          <w:szCs w:val="30"/>
        </w:rPr>
        <w:tab/>
      </w:r>
      <w:r w:rsidR="001446B4">
        <w:rPr>
          <w:sz w:val="30"/>
          <w:szCs w:val="30"/>
        </w:rPr>
        <w:tab/>
        <w:t xml:space="preserve"> </w:t>
      </w:r>
      <w:r w:rsidRPr="001446B4">
        <w:rPr>
          <w:rFonts w:hint="cs"/>
          <w:sz w:val="30"/>
          <w:szCs w:val="30"/>
        </w:rPr>
        <w:t xml:space="preserve">6                 </w:t>
      </w:r>
    </w:p>
    <w:p w14:paraId="22F20E97" w14:textId="77777777" w:rsidR="000201C0" w:rsidRPr="001446B4" w:rsidRDefault="000201C0" w:rsidP="001446B4">
      <w:pPr>
        <w:pStyle w:val="ELayer1"/>
        <w:ind w:left="990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4.1 The Schauder </w:t>
      </w:r>
      <w:r w:rsidRPr="001446B4">
        <w:rPr>
          <w:rFonts w:hint="cs"/>
          <w:sz w:val="30"/>
          <w:szCs w:val="30"/>
          <w:lang w:bidi="th-TH"/>
        </w:rPr>
        <w:t>fixed</w:t>
      </w:r>
      <w:r w:rsidRPr="001446B4">
        <w:rPr>
          <w:rFonts w:eastAsia="Calibri" w:hint="cs"/>
          <w:color w:val="000000" w:themeColor="text1"/>
          <w:sz w:val="30"/>
          <w:szCs w:val="30"/>
          <w:lang w:bidi="th-TH"/>
        </w:rPr>
        <w:t xml:space="preserve"> </w:t>
      </w:r>
      <w:r w:rsidRPr="001446B4">
        <w:rPr>
          <w:rFonts w:hint="cs"/>
          <w:sz w:val="30"/>
          <w:szCs w:val="30"/>
        </w:rPr>
        <w:t xml:space="preserve">point theorems </w:t>
      </w:r>
    </w:p>
    <w:p w14:paraId="3B267C9D" w14:textId="77777777" w:rsidR="000201C0" w:rsidRPr="001446B4" w:rsidRDefault="000201C0" w:rsidP="001446B4">
      <w:pPr>
        <w:pStyle w:val="ELayer1"/>
        <w:ind w:left="990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4.2 Some consequences of Schauder’s theorem </w:t>
      </w:r>
    </w:p>
    <w:p w14:paraId="4E8770FF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4.3 Applications to functional equations </w:t>
      </w:r>
    </w:p>
    <w:p w14:paraId="3D06B7EF" w14:textId="2CA8CE97" w:rsidR="000201C0" w:rsidRPr="001446B4" w:rsidRDefault="000201C0" w:rsidP="000F2EF3">
      <w:pPr>
        <w:pStyle w:val="ELayer1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>5. Correspondences</w:t>
      </w:r>
      <w:r w:rsidRPr="001446B4">
        <w:rPr>
          <w:rFonts w:hint="cs"/>
          <w:sz w:val="30"/>
          <w:szCs w:val="30"/>
        </w:rPr>
        <w:tab/>
      </w:r>
      <w:r w:rsidR="001446B4">
        <w:rPr>
          <w:sz w:val="30"/>
          <w:szCs w:val="30"/>
        </w:rPr>
        <w:t xml:space="preserve"> </w:t>
      </w:r>
      <w:r w:rsidRPr="001446B4">
        <w:rPr>
          <w:rFonts w:hint="cs"/>
          <w:sz w:val="30"/>
          <w:szCs w:val="30"/>
        </w:rPr>
        <w:t xml:space="preserve">7.5 </w:t>
      </w:r>
    </w:p>
    <w:p w14:paraId="45CB28BC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5.1 Upper hemicontinuity </w:t>
      </w:r>
    </w:p>
    <w:p w14:paraId="1DE69721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5.2 The closed graph property </w:t>
      </w:r>
    </w:p>
    <w:p w14:paraId="324096DE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5.3 Lower hemicontinuity </w:t>
      </w:r>
    </w:p>
    <w:p w14:paraId="72E8A03B" w14:textId="538E0676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5.4 Continuous </w:t>
      </w:r>
      <w:r w:rsidR="00D12919">
        <w:rPr>
          <w:sz w:val="30"/>
          <w:szCs w:val="30"/>
          <w:lang w:bidi="th-TH"/>
        </w:rPr>
        <w:t>c</w:t>
      </w:r>
      <w:r w:rsidRPr="001446B4">
        <w:rPr>
          <w:rFonts w:hint="cs"/>
          <w:sz w:val="30"/>
          <w:szCs w:val="30"/>
        </w:rPr>
        <w:t xml:space="preserve">orrespondences </w:t>
      </w:r>
    </w:p>
    <w:p w14:paraId="6157F29D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5.5 The Hausdorff metric and continuity </w:t>
      </w:r>
    </w:p>
    <w:p w14:paraId="0603628E" w14:textId="04E52E4B" w:rsidR="000201C0" w:rsidRPr="001446B4" w:rsidRDefault="000201C0" w:rsidP="000F2EF3">
      <w:pPr>
        <w:pStyle w:val="ELayer1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>6. Fixed point theory for multi-valued mappings</w:t>
      </w:r>
      <w:r w:rsidR="00AF55F5" w:rsidRPr="00AF55F5">
        <w:rPr>
          <w:rFonts w:eastAsia="AngsanaNew"/>
          <w:noProof/>
          <w:sz w:val="30"/>
          <w:szCs w:val="30"/>
          <w:lang w:bidi="th-TH"/>
        </w:rPr>
        <w:t xml:space="preserve"> </w:t>
      </w:r>
      <w:r w:rsidR="00AF55F5">
        <w:rPr>
          <w:rFonts w:eastAsia="AngsanaNew"/>
          <w:noProof/>
          <w:sz w:val="30"/>
          <w:szCs w:val="30"/>
          <w:lang w:bidi="th-TH"/>
        </w:rPr>
        <w:t>and applications</w:t>
      </w:r>
      <w:r w:rsidRPr="001446B4">
        <w:rPr>
          <w:rFonts w:hint="cs"/>
          <w:sz w:val="30"/>
          <w:szCs w:val="30"/>
        </w:rPr>
        <w:tab/>
        <w:t xml:space="preserve">12 </w:t>
      </w:r>
    </w:p>
    <w:p w14:paraId="4AE89C2E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6.1 Kakutani’s fixed point theorem </w:t>
      </w:r>
    </w:p>
    <w:p w14:paraId="58BC6C32" w14:textId="77777777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6.2 Michael’s selection theorem </w:t>
      </w:r>
    </w:p>
    <w:p w14:paraId="4F8FB20C" w14:textId="6B7FD983" w:rsidR="000201C0" w:rsidRPr="001446B4" w:rsidRDefault="000201C0" w:rsidP="000F2EF3">
      <w:pPr>
        <w:pStyle w:val="ELayer2"/>
        <w:rPr>
          <w:sz w:val="30"/>
          <w:szCs w:val="30"/>
        </w:rPr>
      </w:pPr>
      <w:r w:rsidRPr="001446B4">
        <w:rPr>
          <w:rFonts w:hint="cs"/>
          <w:sz w:val="30"/>
          <w:szCs w:val="30"/>
        </w:rPr>
        <w:t xml:space="preserve">6.3 Contractive </w:t>
      </w:r>
      <w:r w:rsidR="00D12919">
        <w:rPr>
          <w:sz w:val="30"/>
          <w:szCs w:val="30"/>
        </w:rPr>
        <w:t>c</w:t>
      </w:r>
      <w:r w:rsidRPr="001446B4">
        <w:rPr>
          <w:rFonts w:hint="cs"/>
          <w:sz w:val="30"/>
          <w:szCs w:val="30"/>
        </w:rPr>
        <w:t xml:space="preserve">orrespondences </w:t>
      </w:r>
    </w:p>
    <w:p w14:paraId="53A9E58E" w14:textId="2A4B9DF5" w:rsidR="000201C0" w:rsidRPr="007F448F" w:rsidRDefault="000201C0" w:rsidP="001446B4">
      <w:pPr>
        <w:pStyle w:val="ELayer2"/>
        <w:rPr>
          <w:rFonts w:eastAsia="AngsanaNew"/>
          <w:sz w:val="30"/>
          <w:szCs w:val="30"/>
          <w:lang w:bidi="th-TH"/>
        </w:rPr>
      </w:pPr>
      <w:r w:rsidRPr="001446B4">
        <w:rPr>
          <w:rFonts w:hint="cs"/>
          <w:sz w:val="30"/>
          <w:szCs w:val="30"/>
        </w:rPr>
        <w:t xml:space="preserve">6.4 Application for the Nash equilibrium </w:t>
      </w:r>
      <w:r w:rsidRPr="007F448F">
        <w:rPr>
          <w:rFonts w:eastAsia="AngsanaNew"/>
          <w:sz w:val="30"/>
          <w:szCs w:val="30"/>
          <w:lang w:bidi="th-TH"/>
        </w:rPr>
        <w:fldChar w:fldCharType="end"/>
      </w:r>
    </w:p>
    <w:p w14:paraId="37D86349" w14:textId="77777777" w:rsidR="000201C0" w:rsidRDefault="000201C0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365B42D" w14:textId="77777777" w:rsidR="000201C0" w:rsidRDefault="000201C0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6FBDCEDA" w14:textId="77777777" w:rsidR="000201C0" w:rsidRPr="008226E8" w:rsidRDefault="000201C0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5FB57D5A" w14:textId="77777777" w:rsidR="000201C0" w:rsidRPr="008226E8" w:rsidRDefault="000201C0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0201C0" w:rsidRPr="008226E8" w14:paraId="57B1DF3F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5096BEC9" w14:textId="77777777" w:rsidR="000201C0" w:rsidRPr="002D67C9" w:rsidRDefault="000201C0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221FDBC" w14:textId="77777777" w:rsidR="000201C0" w:rsidRPr="002D67C9" w:rsidRDefault="000201C0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D0FF189" w14:textId="77777777" w:rsidR="000201C0" w:rsidRPr="002D67C9" w:rsidRDefault="000201C0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0201C0" w:rsidRPr="008226E8" w14:paraId="424C696A" w14:textId="77777777" w:rsidTr="00111D09">
        <w:tc>
          <w:tcPr>
            <w:tcW w:w="3816" w:type="dxa"/>
            <w:shd w:val="clear" w:color="auto" w:fill="auto"/>
          </w:tcPr>
          <w:p w14:paraId="5DCE62DB" w14:textId="77777777" w:rsidR="000201C0" w:rsidRPr="008226E8" w:rsidRDefault="000201C0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พิสูจน์สมบัติพื้นฐานของการหดตัว การหด จุดตรึง ภาวะคอนเวกซ์ และการสมนัย</w:t>
            </w:r>
          </w:p>
        </w:tc>
        <w:tc>
          <w:tcPr>
            <w:tcW w:w="3024" w:type="dxa"/>
            <w:shd w:val="clear" w:color="auto" w:fill="auto"/>
          </w:tcPr>
          <w:p w14:paraId="51B345C6" w14:textId="77777777" w:rsidR="000201C0" w:rsidRPr="008226E8" w:rsidRDefault="000201C0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5888B14" w14:textId="77777777" w:rsidR="000201C0" w:rsidRPr="008226E8" w:rsidRDefault="000201C0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0201C0" w:rsidRPr="008226E8" w14:paraId="0C1D6FFB" w14:textId="77777777" w:rsidTr="00111D09">
        <w:tc>
          <w:tcPr>
            <w:tcW w:w="3816" w:type="dxa"/>
            <w:shd w:val="clear" w:color="auto" w:fill="auto"/>
          </w:tcPr>
          <w:p w14:paraId="0874D79C" w14:textId="77777777" w:rsidR="000201C0" w:rsidRPr="008226E8" w:rsidRDefault="000201C0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อธิบายทฤษฎีบทที่สำคัญ ได้แก่ ทฤษฎีบทจุดตรึงบานาค ทฤษฎีบทจุดตรึงบราวเวอร์ ทฤษฎีบทจุดตรึงเชาเดอร์ ทฤษฎีบทจุดตรึงคาคุทานิ และทฤษฎีบทการเลือกของไมเคิล</w:t>
            </w:r>
          </w:p>
        </w:tc>
        <w:tc>
          <w:tcPr>
            <w:tcW w:w="3024" w:type="dxa"/>
            <w:shd w:val="clear" w:color="auto" w:fill="auto"/>
          </w:tcPr>
          <w:p w14:paraId="058035D2" w14:textId="77777777" w:rsidR="000201C0" w:rsidRDefault="000201C0" w:rsidP="00EA196B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29D6AF8" w14:textId="77777777" w:rsidR="000201C0" w:rsidRPr="008226E8" w:rsidRDefault="000201C0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0201C0" w:rsidRPr="008226E8" w14:paraId="6C9B50B3" w14:textId="77777777" w:rsidTr="00111D09">
        <w:tc>
          <w:tcPr>
            <w:tcW w:w="3816" w:type="dxa"/>
            <w:shd w:val="clear" w:color="auto" w:fill="auto"/>
          </w:tcPr>
          <w:p w14:paraId="605DB963" w14:textId="77777777" w:rsidR="000201C0" w:rsidRPr="008226E8" w:rsidRDefault="000201C0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อธิบายการประยุกต์ของทฤษฎีบทจุดตรึงบานาคและทฤษฎีบทจุดตรึงบราวเวอร์</w:t>
            </w:r>
          </w:p>
        </w:tc>
        <w:tc>
          <w:tcPr>
            <w:tcW w:w="3024" w:type="dxa"/>
            <w:shd w:val="clear" w:color="auto" w:fill="auto"/>
          </w:tcPr>
          <w:p w14:paraId="069DF691" w14:textId="77777777" w:rsidR="000201C0" w:rsidRDefault="000201C0" w:rsidP="00EA196B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508C5DB" w14:textId="77777777" w:rsidR="000201C0" w:rsidRPr="008226E8" w:rsidRDefault="000201C0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0201C0" w:rsidRPr="008226E8" w14:paraId="0940AF45" w14:textId="77777777" w:rsidTr="00111D09">
        <w:tc>
          <w:tcPr>
            <w:tcW w:w="3816" w:type="dxa"/>
            <w:shd w:val="clear" w:color="auto" w:fill="auto"/>
          </w:tcPr>
          <w:p w14:paraId="1D73E3D5" w14:textId="77777777" w:rsidR="000201C0" w:rsidRPr="008226E8" w:rsidRDefault="000201C0" w:rsidP="00EA196B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ประยุกต์ทฤษฎีบทกับสมการเชิงฟังก์ชันและสมดุลแนช</w:t>
            </w:r>
          </w:p>
        </w:tc>
        <w:tc>
          <w:tcPr>
            <w:tcW w:w="3024" w:type="dxa"/>
            <w:shd w:val="clear" w:color="auto" w:fill="auto"/>
          </w:tcPr>
          <w:p w14:paraId="01F81F26" w14:textId="77777777" w:rsidR="000201C0" w:rsidRDefault="000201C0" w:rsidP="00EA196B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6CFB432" w14:textId="77777777" w:rsidR="000201C0" w:rsidRPr="008226E8" w:rsidRDefault="000201C0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F20F411" w14:textId="77777777" w:rsidR="000201C0" w:rsidRDefault="000201C0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1E3FF809" w14:textId="77777777" w:rsidR="000201C0" w:rsidRDefault="000201C0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71B2C2A" w14:textId="05976585" w:rsidR="000201C0" w:rsidRDefault="00816EC8" w:rsidP="00284068">
      <w:pPr>
        <w:rPr>
          <w:rFonts w:ascii="TH SarabunPSK" w:hAnsi="TH SarabunPSK" w:cs="TH SarabunPSK"/>
          <w:sz w:val="32"/>
          <w:szCs w:val="32"/>
          <w:lang w:val="en-AU" w:bidi="th-TH"/>
        </w:rPr>
        <w:sectPr w:rsidR="000201C0" w:rsidSect="000B3921">
          <w:headerReference w:type="even" r:id="rId12"/>
          <w:headerReference w:type="default" r:id="rId13"/>
          <w:footerReference w:type="even" r:id="rId14"/>
          <w:pgSz w:w="11907" w:h="16839" w:code="9"/>
          <w:pgMar w:top="1008" w:right="1008" w:bottom="810" w:left="1008" w:header="734" w:footer="346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1C1E57E4" wp14:editId="07081894">
            <wp:extent cx="6280785" cy="5966460"/>
            <wp:effectExtent l="0" t="0" r="5715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43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96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A1842" w14:textId="77777777" w:rsidR="000201C0" w:rsidRPr="00284068" w:rsidRDefault="000201C0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0201C0" w:rsidRPr="00284068" w:rsidSect="000201C0">
      <w:headerReference w:type="even" r:id="rId16"/>
      <w:headerReference w:type="default" r:id="rId17"/>
      <w:footerReference w:type="even" r:id="rId18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D1233" w14:textId="77777777" w:rsidR="00B85C11" w:rsidRDefault="00B85C11">
      <w:r>
        <w:separator/>
      </w:r>
    </w:p>
  </w:endnote>
  <w:endnote w:type="continuationSeparator" w:id="0">
    <w:p w14:paraId="0B2FCDA4" w14:textId="77777777" w:rsidR="00B85C11" w:rsidRDefault="00B8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C2E8D" w14:textId="77777777" w:rsidR="000F2EF3" w:rsidRDefault="000F2EF3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EF2A108" w14:textId="77777777" w:rsidR="000F2EF3" w:rsidRDefault="000F2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D6F4" w14:textId="77777777" w:rsidR="000F2EF3" w:rsidRDefault="000F2EF3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854331E" w14:textId="77777777" w:rsidR="000F2EF3" w:rsidRDefault="000F2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48589" w14:textId="77777777" w:rsidR="00B85C11" w:rsidRDefault="00B85C11">
      <w:r>
        <w:separator/>
      </w:r>
    </w:p>
  </w:footnote>
  <w:footnote w:type="continuationSeparator" w:id="0">
    <w:p w14:paraId="23320C0D" w14:textId="77777777" w:rsidR="00B85C11" w:rsidRDefault="00B8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D3559" w14:textId="77777777" w:rsidR="000F2EF3" w:rsidRDefault="000F2EF3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F457B3" w14:textId="77777777" w:rsidR="000F2EF3" w:rsidRDefault="000F2EF3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E4198" w14:textId="77777777" w:rsidR="000F2EF3" w:rsidRPr="00E75854" w:rsidRDefault="000F2EF3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28474C85" w14:textId="77777777" w:rsidR="000F2EF3" w:rsidRDefault="000F2EF3" w:rsidP="00E7585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DDDD7" w14:textId="77777777" w:rsidR="000F2EF3" w:rsidRDefault="000F2EF3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9A42584" w14:textId="77777777" w:rsidR="000F2EF3" w:rsidRDefault="000F2EF3" w:rsidP="00E75854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B2EA" w14:textId="77777777" w:rsidR="000F2EF3" w:rsidRPr="00E75854" w:rsidRDefault="000F2EF3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3B5D91A0" w14:textId="77777777" w:rsidR="000F2EF3" w:rsidRDefault="000F2EF3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3025A2A"/>
    <w:multiLevelType w:val="hybridMultilevel"/>
    <w:tmpl w:val="86749040"/>
    <w:lvl w:ilvl="0" w:tplc="0CA677C0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53735E"/>
    <w:multiLevelType w:val="hybridMultilevel"/>
    <w:tmpl w:val="64E0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2990A0E"/>
    <w:multiLevelType w:val="hybridMultilevel"/>
    <w:tmpl w:val="7F3A7190"/>
    <w:lvl w:ilvl="0" w:tplc="7988D91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70361831"/>
    <w:multiLevelType w:val="hybridMultilevel"/>
    <w:tmpl w:val="F5A0ADEC"/>
    <w:lvl w:ilvl="0" w:tplc="30D6EF04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71E52A45"/>
    <w:multiLevelType w:val="hybridMultilevel"/>
    <w:tmpl w:val="05BE8FEE"/>
    <w:lvl w:ilvl="0" w:tplc="0606712A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E96AEE"/>
    <w:multiLevelType w:val="hybridMultilevel"/>
    <w:tmpl w:val="2FECF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01C0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839B9"/>
    <w:rsid w:val="0009136F"/>
    <w:rsid w:val="00095A78"/>
    <w:rsid w:val="000A11BA"/>
    <w:rsid w:val="000A41AF"/>
    <w:rsid w:val="000A5EE7"/>
    <w:rsid w:val="000A6B05"/>
    <w:rsid w:val="000A729C"/>
    <w:rsid w:val="000A7BF7"/>
    <w:rsid w:val="000B3921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2EF3"/>
    <w:rsid w:val="000F3214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46B4"/>
    <w:rsid w:val="00146C2B"/>
    <w:rsid w:val="00152084"/>
    <w:rsid w:val="00155318"/>
    <w:rsid w:val="00155884"/>
    <w:rsid w:val="00155C0F"/>
    <w:rsid w:val="00157C90"/>
    <w:rsid w:val="001672EC"/>
    <w:rsid w:val="00173591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424"/>
    <w:rsid w:val="001C3E4C"/>
    <w:rsid w:val="001C48F9"/>
    <w:rsid w:val="001C745D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1B5"/>
    <w:rsid w:val="002444E0"/>
    <w:rsid w:val="00245AAD"/>
    <w:rsid w:val="0024748A"/>
    <w:rsid w:val="0025220E"/>
    <w:rsid w:val="002541B9"/>
    <w:rsid w:val="00255843"/>
    <w:rsid w:val="002562C0"/>
    <w:rsid w:val="0025712F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405C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1315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0F57"/>
    <w:rsid w:val="00431D1E"/>
    <w:rsid w:val="00432A2D"/>
    <w:rsid w:val="00434527"/>
    <w:rsid w:val="00434620"/>
    <w:rsid w:val="004420DF"/>
    <w:rsid w:val="004421AF"/>
    <w:rsid w:val="00442FA4"/>
    <w:rsid w:val="00445599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0B77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979A1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2015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278B6"/>
    <w:rsid w:val="006306BB"/>
    <w:rsid w:val="0063147F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77125"/>
    <w:rsid w:val="00680FCD"/>
    <w:rsid w:val="00683E41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418"/>
    <w:rsid w:val="007427AF"/>
    <w:rsid w:val="00745321"/>
    <w:rsid w:val="00753AE9"/>
    <w:rsid w:val="00755762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A72A1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92E"/>
    <w:rsid w:val="007D3D8E"/>
    <w:rsid w:val="007D548B"/>
    <w:rsid w:val="007D5F3F"/>
    <w:rsid w:val="007E1129"/>
    <w:rsid w:val="007E11C1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D27"/>
    <w:rsid w:val="00810A40"/>
    <w:rsid w:val="00812A25"/>
    <w:rsid w:val="00814BF0"/>
    <w:rsid w:val="0081659B"/>
    <w:rsid w:val="00816EC8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97044"/>
    <w:rsid w:val="008A3BCC"/>
    <w:rsid w:val="008A4EF3"/>
    <w:rsid w:val="008A78E3"/>
    <w:rsid w:val="008B2130"/>
    <w:rsid w:val="008B3238"/>
    <w:rsid w:val="008B339A"/>
    <w:rsid w:val="008B5E2E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46C7"/>
    <w:rsid w:val="0090515B"/>
    <w:rsid w:val="00911F98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3B3B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4E5D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0986"/>
    <w:rsid w:val="009F16C5"/>
    <w:rsid w:val="009F30D8"/>
    <w:rsid w:val="009F4AAD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7224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00FA"/>
    <w:rsid w:val="00A9093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AF55F5"/>
    <w:rsid w:val="00B0175B"/>
    <w:rsid w:val="00B03B3D"/>
    <w:rsid w:val="00B03F9C"/>
    <w:rsid w:val="00B0458F"/>
    <w:rsid w:val="00B07278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5C1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147"/>
    <w:rsid w:val="00BF439E"/>
    <w:rsid w:val="00BF65D2"/>
    <w:rsid w:val="00BF6947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96E5C"/>
    <w:rsid w:val="00CA0EFD"/>
    <w:rsid w:val="00CA5ACA"/>
    <w:rsid w:val="00CA6761"/>
    <w:rsid w:val="00CB0660"/>
    <w:rsid w:val="00CB46F7"/>
    <w:rsid w:val="00CB518A"/>
    <w:rsid w:val="00CB71C2"/>
    <w:rsid w:val="00CC0020"/>
    <w:rsid w:val="00CC01F8"/>
    <w:rsid w:val="00CC3202"/>
    <w:rsid w:val="00CC74A9"/>
    <w:rsid w:val="00CD5B1C"/>
    <w:rsid w:val="00CD5CE3"/>
    <w:rsid w:val="00CD6A5E"/>
    <w:rsid w:val="00CD7F01"/>
    <w:rsid w:val="00CE06E2"/>
    <w:rsid w:val="00CE4195"/>
    <w:rsid w:val="00CF037C"/>
    <w:rsid w:val="00CF0ACC"/>
    <w:rsid w:val="00CF0C43"/>
    <w:rsid w:val="00CF4B4D"/>
    <w:rsid w:val="00D00981"/>
    <w:rsid w:val="00D07FF5"/>
    <w:rsid w:val="00D11125"/>
    <w:rsid w:val="00D12919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3299"/>
    <w:rsid w:val="00DA5CE6"/>
    <w:rsid w:val="00DA72FF"/>
    <w:rsid w:val="00DB0209"/>
    <w:rsid w:val="00DC6031"/>
    <w:rsid w:val="00DD31F6"/>
    <w:rsid w:val="00DD3464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05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3CD6"/>
    <w:rsid w:val="00F94225"/>
    <w:rsid w:val="00F95016"/>
    <w:rsid w:val="00F97674"/>
    <w:rsid w:val="00FA25F4"/>
    <w:rsid w:val="00FA5D2F"/>
    <w:rsid w:val="00FA796C"/>
    <w:rsid w:val="00FB156D"/>
    <w:rsid w:val="00FC0454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A5A04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201C0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201C0"/>
    <w:rPr>
      <w:rFonts w:ascii="TH SarabunPSK" w:eastAsia="Angsana New" w:hAnsi="TH SarabunPSK" w:cs="TH SarabunPSK"/>
      <w:color w:val="000000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1F0B9-4352-4D5B-AAE8-5F0C61E7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8</cp:revision>
  <cp:lastPrinted>2020-07-23T02:04:00Z</cp:lastPrinted>
  <dcterms:created xsi:type="dcterms:W3CDTF">2020-08-01T15:21:00Z</dcterms:created>
  <dcterms:modified xsi:type="dcterms:W3CDTF">2020-10-07T15:21:00Z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